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4164" w14:textId="2D51178C" w:rsidR="00895A5C" w:rsidRPr="00A90791" w:rsidRDefault="00895A5C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5"/>
        <w:gridCol w:w="7695"/>
      </w:tblGrid>
      <w:tr w:rsidR="00895A5C" w:rsidRPr="00E36B0F" w14:paraId="5B3D25FA" w14:textId="77777777" w:rsidTr="00AB4608">
        <w:trPr>
          <w:trHeight w:val="721"/>
        </w:trPr>
        <w:tc>
          <w:tcPr>
            <w:tcW w:w="2405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D4704FF" w14:textId="77777777" w:rsidR="00895A5C" w:rsidRPr="00E36B0F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bookmarkStart w:id="0" w:name="_Hlk109977806"/>
          </w:p>
        </w:tc>
        <w:tc>
          <w:tcPr>
            <w:tcW w:w="7695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8979BB5" w14:textId="4D669397" w:rsidR="00895A5C" w:rsidRPr="00E152B0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r w:rsidRPr="00E152B0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Széchenyi Kártya Folyószámlahitel </w:t>
            </w:r>
            <w:r w:rsidR="00D357E3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MAX</w:t>
            </w:r>
            <w:r w:rsidR="002C4F90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+</w:t>
            </w:r>
          </w:p>
        </w:tc>
      </w:tr>
      <w:tr w:rsidR="00895A5C" w:rsidRPr="00E36B0F" w14:paraId="6ECEA37B" w14:textId="77777777" w:rsidTr="00AB4608">
        <w:trPr>
          <w:trHeight w:val="516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3E6BCA3" w14:textId="77777777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HITELÖSSZEG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67680A9D" w14:textId="4AFC3CC6" w:rsidR="00425D02" w:rsidRPr="00100F5D" w:rsidRDefault="00895A5C" w:rsidP="002C4F90">
            <w:pPr>
              <w:pStyle w:val="Default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4451B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1-</w:t>
            </w:r>
            <w:r w:rsidR="00D357E3" w:rsidRPr="004451B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250 </w:t>
            </w:r>
            <w:r w:rsidRPr="004451B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millió Ft</w:t>
            </w:r>
          </w:p>
          <w:p w14:paraId="298EA9C1" w14:textId="671A42D2" w:rsidR="00895A5C" w:rsidRPr="00AB4608" w:rsidRDefault="00425D02" w:rsidP="0069604F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60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Az adható maximális hitelösszeg a</w:t>
            </w:r>
            <w:r w:rsidR="00947A9D" w:rsidRPr="00AB460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 utolsó lezárt évi árbevétel 25%-a.</w:t>
            </w:r>
          </w:p>
          <w:p w14:paraId="67B33B77" w14:textId="13EEAE38" w:rsidR="00DB7FA0" w:rsidRDefault="00DB7FA0" w:rsidP="0069604F">
            <w:pPr>
              <w:pStyle w:val="Listaszerbekezds"/>
              <w:ind w:left="0"/>
              <w:jc w:val="both"/>
              <w:rPr>
                <w:rFonts w:asciiTheme="minorHAnsi" w:hAnsiTheme="minorHAnsi" w:cstheme="minorHAnsi"/>
                <w:color w:val="002060"/>
              </w:rPr>
            </w:pPr>
            <w:r w:rsidRPr="00DB7FA0">
              <w:rPr>
                <w:rFonts w:asciiTheme="minorHAnsi" w:hAnsiTheme="minorHAnsi" w:cstheme="minorHAnsi"/>
                <w:color w:val="002060"/>
              </w:rPr>
              <w:t>Amennyiben a Vállalkozás főtevékenysége az alábbi szállítás nemzetgazdasági ágba tartozó tevékenységi körök valamelyikébe tartozik, úgy a</w:t>
            </w:r>
            <w:r w:rsidR="002104FC">
              <w:rPr>
                <w:rFonts w:asciiTheme="minorHAnsi" w:hAnsiTheme="minorHAnsi" w:cstheme="minorHAnsi"/>
                <w:color w:val="002060"/>
              </w:rPr>
              <w:t xml:space="preserve">z adható hitelösszeg </w:t>
            </w:r>
            <w:proofErr w:type="spellStart"/>
            <w:r w:rsidR="002104FC">
              <w:rPr>
                <w:rFonts w:asciiTheme="minorHAnsi" w:hAnsiTheme="minorHAnsi" w:cstheme="minorHAnsi"/>
                <w:color w:val="002060"/>
              </w:rPr>
              <w:t>max</w:t>
            </w:r>
            <w:proofErr w:type="spellEnd"/>
            <w:r w:rsidR="002104FC">
              <w:rPr>
                <w:rFonts w:asciiTheme="minorHAnsi" w:hAnsiTheme="minorHAnsi" w:cstheme="minorHAnsi"/>
                <w:color w:val="002060"/>
              </w:rPr>
              <w:t>. az</w:t>
            </w:r>
            <w:r w:rsidRPr="00DB7FA0">
              <w:rPr>
                <w:rFonts w:asciiTheme="minorHAnsi" w:hAnsiTheme="minorHAnsi" w:cstheme="minorHAnsi"/>
                <w:color w:val="002060"/>
              </w:rPr>
              <w:t xml:space="preserve"> árbevétel 35%-</w:t>
            </w:r>
            <w:r w:rsidR="002104FC">
              <w:rPr>
                <w:rFonts w:asciiTheme="minorHAnsi" w:hAnsiTheme="minorHAnsi" w:cstheme="minorHAnsi"/>
                <w:color w:val="002060"/>
              </w:rPr>
              <w:t>a lehet</w:t>
            </w:r>
            <w:r w:rsidRPr="00DB7FA0">
              <w:rPr>
                <w:rFonts w:asciiTheme="minorHAnsi" w:hAnsiTheme="minorHAnsi" w:cstheme="minorHAnsi"/>
                <w:color w:val="002060"/>
              </w:rPr>
              <w:t>:</w:t>
            </w:r>
          </w:p>
          <w:p w14:paraId="4730C3B3" w14:textId="6F82A4E0" w:rsidR="003142A9" w:rsidRPr="00DB7FA0" w:rsidRDefault="003142A9" w:rsidP="0069604F">
            <w:pPr>
              <w:pStyle w:val="Listaszerbekezds"/>
              <w:ind w:left="0"/>
              <w:jc w:val="both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TEÁOR’25</w:t>
            </w:r>
          </w:p>
          <w:p w14:paraId="61FD2AF5" w14:textId="6501AE78" w:rsidR="00DB7FA0" w:rsidRDefault="00DB7FA0" w:rsidP="006C5471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 w:rsidRPr="00DB7FA0">
              <w:rPr>
                <w:rFonts w:asciiTheme="minorHAnsi" w:hAnsiTheme="minorHAnsi" w:cstheme="minorHAnsi"/>
                <w:color w:val="002060"/>
              </w:rPr>
              <w:t xml:space="preserve">4939 </w:t>
            </w:r>
            <w:proofErr w:type="spellStart"/>
            <w:r w:rsidRPr="00DB7FA0">
              <w:rPr>
                <w:rFonts w:asciiTheme="minorHAnsi" w:hAnsiTheme="minorHAnsi" w:cstheme="minorHAnsi"/>
                <w:color w:val="002060"/>
              </w:rPr>
              <w:t>M.n.s</w:t>
            </w:r>
            <w:proofErr w:type="spellEnd"/>
            <w:r w:rsidRPr="00DB7FA0">
              <w:rPr>
                <w:rFonts w:asciiTheme="minorHAnsi" w:hAnsiTheme="minorHAnsi" w:cstheme="minorHAnsi"/>
                <w:color w:val="002060"/>
              </w:rPr>
              <w:t>. egyéb szárazföldi személyszállítás</w:t>
            </w:r>
          </w:p>
          <w:p w14:paraId="60B6BA9C" w14:textId="4ABA030D" w:rsidR="006C5471" w:rsidRPr="006C5471" w:rsidRDefault="006C5471" w:rsidP="006C5471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 w:rsidRPr="006C5471">
              <w:rPr>
                <w:rFonts w:asciiTheme="minorHAnsi" w:hAnsiTheme="minorHAnsi" w:cstheme="minorHAnsi"/>
                <w:color w:val="002060"/>
              </w:rPr>
              <w:t>4931 Menetrend szerinti közúti személyszállítás</w:t>
            </w:r>
          </w:p>
          <w:p w14:paraId="5D21EC6E" w14:textId="619D3F7F" w:rsidR="006C5471" w:rsidRPr="006C5471" w:rsidRDefault="006C5471" w:rsidP="006C5471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 w:rsidRPr="006C5471">
              <w:rPr>
                <w:rFonts w:asciiTheme="minorHAnsi" w:hAnsiTheme="minorHAnsi" w:cstheme="minorHAnsi"/>
                <w:color w:val="002060"/>
              </w:rPr>
              <w:t>4932 Nem menetrend szerinti közúti személyszállítás</w:t>
            </w:r>
          </w:p>
          <w:p w14:paraId="4865D3F7" w14:textId="67406CC9" w:rsidR="00DB7FA0" w:rsidRPr="00DB7FA0" w:rsidRDefault="00DB7FA0" w:rsidP="006C5471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2060"/>
              </w:rPr>
            </w:pPr>
            <w:r w:rsidRPr="00DB7FA0">
              <w:rPr>
                <w:rFonts w:asciiTheme="minorHAnsi" w:hAnsiTheme="minorHAnsi" w:cstheme="minorHAnsi"/>
                <w:color w:val="002060"/>
              </w:rPr>
              <w:t>4941 Közúti áruszállítás</w:t>
            </w:r>
          </w:p>
          <w:p w14:paraId="326471AA" w14:textId="77777777" w:rsidR="006C5471" w:rsidRDefault="00DB7FA0" w:rsidP="006C5471">
            <w:pPr>
              <w:pStyle w:val="Listaszerbekezd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2060"/>
              </w:rPr>
            </w:pPr>
            <w:r w:rsidRPr="006C5471">
              <w:rPr>
                <w:rFonts w:asciiTheme="minorHAnsi" w:hAnsiTheme="minorHAnsi" w:cstheme="minorHAnsi"/>
                <w:color w:val="002060"/>
              </w:rPr>
              <w:t>4942 Költöztetés</w:t>
            </w:r>
          </w:p>
          <w:p w14:paraId="593813EB" w14:textId="14F266F5" w:rsidR="006C5471" w:rsidRPr="006C5471" w:rsidRDefault="006C5471" w:rsidP="006C5471">
            <w:pPr>
              <w:pStyle w:val="Listaszerbekezds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2060"/>
              </w:rPr>
            </w:pPr>
            <w:r w:rsidRPr="006C5471">
              <w:rPr>
                <w:rFonts w:asciiTheme="minorHAnsi" w:hAnsiTheme="minorHAnsi" w:cstheme="minorHAnsi"/>
                <w:color w:val="002060"/>
              </w:rPr>
              <w:t>5224 Rakománykezelés</w:t>
            </w:r>
          </w:p>
          <w:p w14:paraId="174FE346" w14:textId="71009BA4" w:rsidR="006C5471" w:rsidRPr="00060B31" w:rsidRDefault="006C5471" w:rsidP="006C5471">
            <w:pPr>
              <w:pStyle w:val="Listaszerbekezds"/>
              <w:jc w:val="both"/>
              <w:rPr>
                <w:rFonts w:asciiTheme="minorHAnsi" w:hAnsiTheme="minorHAnsi" w:cstheme="minorHAnsi"/>
                <w:color w:val="002060"/>
              </w:rPr>
            </w:pPr>
          </w:p>
        </w:tc>
      </w:tr>
      <w:bookmarkEnd w:id="0"/>
      <w:tr w:rsidR="00895A5C" w:rsidRPr="00E36B0F" w14:paraId="75082709" w14:textId="77777777" w:rsidTr="00AB4608">
        <w:trPr>
          <w:trHeight w:val="349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862A896" w14:textId="77777777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FUTAMIDŐ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4BEA428E" w14:textId="422C417F" w:rsidR="00855B0F" w:rsidRPr="00060B31" w:rsidRDefault="00947A9D" w:rsidP="00FE62B8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 xml:space="preserve">1, </w:t>
            </w:r>
            <w:r w:rsidR="00895A5C" w:rsidRPr="00060B31">
              <w:rPr>
                <w:rFonts w:asciiTheme="minorHAnsi" w:hAnsiTheme="minorHAnsi" w:cstheme="minorHAnsi"/>
                <w:color w:val="002060"/>
              </w:rPr>
              <w:t xml:space="preserve">2 </w:t>
            </w:r>
            <w:r w:rsidRPr="00060B31">
              <w:rPr>
                <w:rFonts w:asciiTheme="minorHAnsi" w:hAnsiTheme="minorHAnsi" w:cstheme="minorHAnsi"/>
                <w:color w:val="002060"/>
              </w:rPr>
              <w:t xml:space="preserve">vagy 3 </w:t>
            </w:r>
            <w:r w:rsidR="00895A5C" w:rsidRPr="00060B31">
              <w:rPr>
                <w:rFonts w:asciiTheme="minorHAnsi" w:hAnsiTheme="minorHAnsi" w:cstheme="minorHAnsi"/>
                <w:color w:val="002060"/>
              </w:rPr>
              <w:t>év</w:t>
            </w:r>
          </w:p>
        </w:tc>
      </w:tr>
      <w:tr w:rsidR="00895A5C" w:rsidRPr="00E36B0F" w14:paraId="2AD15C08" w14:textId="77777777" w:rsidTr="004451B6">
        <w:trPr>
          <w:trHeight w:val="516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4CE8239" w14:textId="203917B5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KAMATTÁMOGATÁS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AB96" w14:textId="1CDEE4A5" w:rsidR="00855B0F" w:rsidRPr="00060B31" w:rsidRDefault="00E51416" w:rsidP="002C4F90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5,5</w:t>
            </w:r>
            <w:r w:rsidR="00895A5C" w:rsidRPr="00060B31">
              <w:rPr>
                <w:rFonts w:asciiTheme="minorHAnsi" w:hAnsiTheme="minorHAnsi" w:cstheme="minorHAnsi"/>
                <w:color w:val="002060"/>
              </w:rPr>
              <w:t>%</w:t>
            </w:r>
            <w:r w:rsidR="00E35B17">
              <w:rPr>
                <w:rFonts w:asciiTheme="minorHAnsi" w:hAnsiTheme="minorHAnsi" w:cstheme="minorHAnsi"/>
                <w:color w:val="002060"/>
              </w:rPr>
              <w:t>/év</w:t>
            </w:r>
          </w:p>
        </w:tc>
      </w:tr>
      <w:tr w:rsidR="00895A5C" w:rsidRPr="00E36B0F" w14:paraId="57B87533" w14:textId="77777777" w:rsidTr="00AB4608">
        <w:trPr>
          <w:trHeight w:val="349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CC45DC6" w14:textId="156E60C3" w:rsidR="00895A5C" w:rsidRPr="00060B31" w:rsidRDefault="000B647E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 xml:space="preserve">NETTÓ </w:t>
            </w:r>
            <w:r w:rsidR="00895A5C" w:rsidRPr="00060B31">
              <w:rPr>
                <w:rFonts w:asciiTheme="minorHAnsi" w:hAnsiTheme="minorHAnsi" w:cstheme="minorHAnsi"/>
                <w:color w:val="002060"/>
              </w:rPr>
              <w:t>KAMAT/ÉV</w:t>
            </w:r>
          </w:p>
        </w:tc>
        <w:tc>
          <w:tcPr>
            <w:tcW w:w="7695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544E379D" w14:textId="5FB643D0" w:rsidR="00855B0F" w:rsidRPr="00AB4608" w:rsidRDefault="00EB7EC6" w:rsidP="002C4F90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060B31">
              <w:rPr>
                <w:rFonts w:asciiTheme="minorHAnsi" w:hAnsiTheme="minorHAnsi" w:cstheme="minorHAnsi"/>
                <w:b/>
                <w:bCs/>
                <w:color w:val="002060"/>
              </w:rPr>
              <w:t>FIX</w:t>
            </w:r>
            <w:r w:rsidR="00895A5C" w:rsidRPr="00060B31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="00E51416">
              <w:rPr>
                <w:rFonts w:asciiTheme="minorHAnsi" w:hAnsiTheme="minorHAnsi" w:cstheme="minorHAnsi"/>
                <w:b/>
                <w:bCs/>
                <w:color w:val="002060"/>
              </w:rPr>
              <w:t>3</w:t>
            </w:r>
            <w:r w:rsidR="00895A5C" w:rsidRPr="00060B31">
              <w:rPr>
                <w:rFonts w:asciiTheme="minorHAnsi" w:hAnsiTheme="minorHAnsi" w:cstheme="minorHAnsi"/>
                <w:b/>
                <w:bCs/>
                <w:color w:val="002060"/>
              </w:rPr>
              <w:t>%</w:t>
            </w:r>
            <w:r w:rsidR="00266A49" w:rsidRPr="00060B31">
              <w:rPr>
                <w:rFonts w:asciiTheme="minorHAnsi" w:hAnsiTheme="minorHAnsi" w:cstheme="minorHAnsi"/>
                <w:b/>
                <w:bCs/>
                <w:color w:val="002060"/>
              </w:rPr>
              <w:t>/év</w:t>
            </w:r>
          </w:p>
        </w:tc>
      </w:tr>
      <w:tr w:rsidR="00895A5C" w:rsidRPr="00E36B0F" w14:paraId="28EFEB83" w14:textId="77777777" w:rsidTr="00AB4608">
        <w:trPr>
          <w:trHeight w:val="589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5A750655" w14:textId="77777777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NETTÓ KEZELÉSI KÖLTSÉG/ÉV</w:t>
            </w:r>
          </w:p>
        </w:tc>
        <w:tc>
          <w:tcPr>
            <w:tcW w:w="7695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206F" w14:textId="4B5A36C0" w:rsidR="00895A5C" w:rsidRDefault="002C4F90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>0</w:t>
            </w:r>
            <w:r w:rsidRPr="00060B31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="00895A5C" w:rsidRPr="00060B31">
              <w:rPr>
                <w:rFonts w:asciiTheme="minorHAnsi" w:hAnsiTheme="minorHAnsi" w:cstheme="minorHAnsi"/>
                <w:b/>
                <w:bCs/>
                <w:color w:val="002060"/>
              </w:rPr>
              <w:t>%</w:t>
            </w:r>
            <w:r w:rsidR="00266A49" w:rsidRPr="00060B31">
              <w:rPr>
                <w:rFonts w:asciiTheme="minorHAnsi" w:hAnsiTheme="minorHAnsi" w:cstheme="minorHAnsi"/>
                <w:b/>
                <w:bCs/>
                <w:color w:val="002060"/>
              </w:rPr>
              <w:t>/év</w:t>
            </w:r>
          </w:p>
          <w:p w14:paraId="5680DECB" w14:textId="5AA0CEEB" w:rsidR="002C4F90" w:rsidRPr="00FE62B8" w:rsidRDefault="002C4F90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4451B6">
              <w:rPr>
                <w:rFonts w:asciiTheme="minorHAnsi" w:hAnsiTheme="minorHAnsi" w:cstheme="minorHAnsi"/>
                <w:color w:val="002060"/>
              </w:rPr>
              <w:t>Az állami támogatásnak köszönhetően.</w:t>
            </w:r>
          </w:p>
        </w:tc>
      </w:tr>
      <w:tr w:rsidR="001C723E" w:rsidRPr="00E36B0F" w14:paraId="1DCA69CB" w14:textId="77777777" w:rsidTr="00AB4608">
        <w:trPr>
          <w:trHeight w:val="698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374B23AD" w14:textId="77777777" w:rsidR="001C723E" w:rsidRPr="00060B31" w:rsidRDefault="001C723E" w:rsidP="00AB4608">
            <w:pPr>
              <w:spacing w:after="16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NETTÓ KEZESSÉGI DÍJ</w:t>
            </w:r>
          </w:p>
          <w:p w14:paraId="00CBBD4E" w14:textId="3349CA24" w:rsidR="000B647E" w:rsidRPr="00060B31" w:rsidRDefault="000B647E" w:rsidP="00AB4608">
            <w:pPr>
              <w:spacing w:after="160"/>
              <w:jc w:val="center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04A01C8" w14:textId="5A144FC1" w:rsidR="00FE62B8" w:rsidRDefault="001C723E" w:rsidP="00895A5C">
            <w:pPr>
              <w:spacing w:after="160" w:line="259" w:lineRule="auto"/>
              <w:jc w:val="center"/>
              <w:rPr>
                <w:rFonts w:eastAsia="Calibri"/>
                <w:color w:val="002060"/>
                <w:sz w:val="20"/>
                <w:szCs w:val="20"/>
              </w:rPr>
            </w:pPr>
            <w:r w:rsidRPr="00AB4608">
              <w:rPr>
                <w:rFonts w:asciiTheme="minorHAnsi" w:hAnsiTheme="minorHAnsi" w:cstheme="minorHAnsi"/>
                <w:b/>
                <w:bCs/>
                <w:color w:val="002060"/>
              </w:rPr>
              <w:t>0,</w:t>
            </w:r>
            <w:r w:rsidR="00985AFB">
              <w:rPr>
                <w:rFonts w:asciiTheme="minorHAnsi" w:hAnsiTheme="minorHAnsi" w:cstheme="minorHAnsi"/>
                <w:b/>
                <w:bCs/>
                <w:color w:val="002060"/>
              </w:rPr>
              <w:t>2</w:t>
            </w:r>
            <w:r w:rsidR="00985AFB" w:rsidRPr="00AB4608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Pr="00AB4608">
              <w:rPr>
                <w:rFonts w:asciiTheme="minorHAnsi" w:hAnsiTheme="minorHAnsi" w:cstheme="minorHAnsi"/>
                <w:b/>
                <w:bCs/>
                <w:color w:val="002060"/>
              </w:rPr>
              <w:t>%/év</w:t>
            </w:r>
            <w:r w:rsidR="00B1100C" w:rsidRPr="00060B31">
              <w:rPr>
                <w:rFonts w:asciiTheme="minorHAnsi" w:hAnsiTheme="minorHAnsi" w:cstheme="minorHAnsi"/>
                <w:color w:val="002060"/>
              </w:rPr>
              <w:t xml:space="preserve"> </w:t>
            </w:r>
            <w:r w:rsidR="00FE62B8" w:rsidRPr="00AB4608">
              <w:rPr>
                <w:rFonts w:eastAsia="Calibri"/>
                <w:color w:val="002060"/>
                <w:sz w:val="20"/>
                <w:szCs w:val="20"/>
              </w:rPr>
              <w:t xml:space="preserve"> </w:t>
            </w:r>
          </w:p>
          <w:p w14:paraId="232A0339" w14:textId="3384FF7C" w:rsidR="001C723E" w:rsidRPr="00100F5D" w:rsidRDefault="00FE62B8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4451B6">
              <w:rPr>
                <w:rFonts w:eastAsia="Calibri"/>
                <w:color w:val="002060"/>
              </w:rPr>
              <w:t>vetítési alap: garantált hitelösszeg</w:t>
            </w:r>
          </w:p>
        </w:tc>
      </w:tr>
      <w:tr w:rsidR="00895A5C" w:rsidRPr="00E36B0F" w14:paraId="0C8429BE" w14:textId="77777777" w:rsidTr="004451B6">
        <w:trPr>
          <w:trHeight w:val="1217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72ACB4C" w14:textId="77777777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BIZTOSÍTÉK</w:t>
            </w: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7874808" w14:textId="30DCA5CA" w:rsidR="000B647E" w:rsidRPr="004451B6" w:rsidRDefault="000B647E" w:rsidP="004451B6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4451B6">
              <w:rPr>
                <w:rFonts w:asciiTheme="minorHAnsi" w:hAnsiTheme="minorHAnsi" w:cstheme="minorHAnsi"/>
                <w:color w:val="002060"/>
              </w:rPr>
              <w:t>Garantiqa Hitelgarancia Zrt 80%-os kezességvállalása</w:t>
            </w:r>
          </w:p>
          <w:p w14:paraId="6208F3F7" w14:textId="1BD100A4" w:rsidR="009A4F3F" w:rsidRPr="004451B6" w:rsidRDefault="00895A5C" w:rsidP="004451B6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color w:val="002060"/>
              </w:rPr>
            </w:pPr>
            <w:r w:rsidRPr="004451B6">
              <w:rPr>
                <w:rFonts w:asciiTheme="minorHAnsi" w:hAnsiTheme="minorHAnsi" w:cstheme="minorHAnsi"/>
                <w:color w:val="002060"/>
              </w:rPr>
              <w:t>Magánszemély készfizető kezességvállalása (pl. társas vállalkozás esetén a vállalkozás legalább 50 %-os tulajdonosa, Bt. esetén a kültag)</w:t>
            </w:r>
          </w:p>
        </w:tc>
      </w:tr>
      <w:tr w:rsidR="00895A5C" w:rsidRPr="00E36B0F" w14:paraId="313BA072" w14:textId="77777777" w:rsidTr="004451B6">
        <w:trPr>
          <w:trHeight w:val="292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45421DCA" w14:textId="77777777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GAZDÁLKODÁSI MÚLT</w:t>
            </w: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47D97F7" w14:textId="3B17C455" w:rsidR="00895A5C" w:rsidRPr="00060B31" w:rsidRDefault="002E7205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Minimum</w:t>
            </w:r>
            <w:r w:rsidR="00C55A4F" w:rsidRPr="00060B31">
              <w:rPr>
                <w:rFonts w:asciiTheme="minorHAnsi" w:hAnsiTheme="minorHAnsi" w:cstheme="minorHAnsi"/>
                <w:color w:val="002060"/>
              </w:rPr>
              <w:t xml:space="preserve"> egy </w:t>
            </w:r>
            <w:r w:rsidRPr="00060B31">
              <w:rPr>
                <w:rFonts w:asciiTheme="minorHAnsi" w:hAnsiTheme="minorHAnsi" w:cstheme="minorHAnsi"/>
                <w:color w:val="002060"/>
              </w:rPr>
              <w:t xml:space="preserve">- 150 </w:t>
            </w:r>
            <w:proofErr w:type="spellStart"/>
            <w:r w:rsidRPr="00060B31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060B31">
              <w:rPr>
                <w:rFonts w:asciiTheme="minorHAnsi" w:hAnsiTheme="minorHAnsi" w:cstheme="minorHAnsi"/>
                <w:color w:val="002060"/>
              </w:rPr>
              <w:t xml:space="preserve"> felett két - </w:t>
            </w:r>
            <w:r w:rsidR="00C55A4F" w:rsidRPr="00060B31">
              <w:rPr>
                <w:rFonts w:asciiTheme="minorHAnsi" w:hAnsiTheme="minorHAnsi" w:cstheme="minorHAnsi"/>
                <w:color w:val="002060"/>
              </w:rPr>
              <w:t>teljes lezárt éves működési múlt</w:t>
            </w:r>
            <w:r w:rsidR="00B52E34" w:rsidRPr="00AB4608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</w:tr>
      <w:tr w:rsidR="00895A5C" w:rsidRPr="00E36B0F" w14:paraId="46E30529" w14:textId="77777777" w:rsidTr="004451B6">
        <w:trPr>
          <w:trHeight w:val="532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786F45A" w14:textId="77777777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TÖRLESZTÉS</w:t>
            </w: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F5910B6" w14:textId="77777777" w:rsidR="00895A5C" w:rsidRPr="00060B31" w:rsidRDefault="00895A5C" w:rsidP="00895A5C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 xml:space="preserve">Kamatfizetés: naptári negyedévente. A kintlévőség egy összegben lejáratkor válik esedékessé, amennyiben nem kerül a hitelkeret meghosszabbításra. </w:t>
            </w:r>
          </w:p>
        </w:tc>
      </w:tr>
      <w:tr w:rsidR="00060B31" w:rsidRPr="00E36B0F" w14:paraId="65EA521D" w14:textId="77777777" w:rsidTr="00533586">
        <w:trPr>
          <w:trHeight w:val="1103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77D8FC0" w14:textId="2445555F" w:rsidR="002C4F90" w:rsidRDefault="00060B31" w:rsidP="002C4F90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</w:rPr>
              <w:t>KÜLÖNDÍJ</w:t>
            </w:r>
            <w:r w:rsidR="002C4F9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  <w:p w14:paraId="3A9D3937" w14:textId="23693E08" w:rsidR="00060B31" w:rsidRPr="00E36B0F" w:rsidRDefault="002C4F90" w:rsidP="002C4F90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</w:t>
            </w:r>
            <w:r w:rsidR="00060B31" w:rsidRPr="00AB460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szerződésben vállalt kötelező számlaforgalom nem-teljesítése esetén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EECF" w14:textId="77777777" w:rsidR="00060B31" w:rsidRPr="00AB4608" w:rsidRDefault="00060B31" w:rsidP="00060B31">
            <w:pPr>
              <w:pStyle w:val="Default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060B3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1%/év</w:t>
            </w:r>
          </w:p>
        </w:tc>
      </w:tr>
    </w:tbl>
    <w:p w14:paraId="7064B35C" w14:textId="77777777" w:rsidR="007F733C" w:rsidRDefault="007F733C" w:rsidP="007F733C">
      <w:r>
        <w:t xml:space="preserve">További információ: </w:t>
      </w:r>
      <w:hyperlink r:id="rId8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1111C364" w14:textId="01BDFB77" w:rsidR="00A90791" w:rsidRDefault="00A90791" w:rsidP="007F733C">
      <w:pPr>
        <w:spacing w:after="160" w:line="259" w:lineRule="auto"/>
        <w:ind w:left="-426" w:right="-428"/>
        <w:jc w:val="both"/>
        <w:rPr>
          <w:rFonts w:asciiTheme="minorHAnsi" w:hAnsiTheme="minorHAnsi" w:cstheme="minorHAnsi"/>
        </w:rPr>
      </w:pPr>
    </w:p>
    <w:sectPr w:rsidR="00A90791" w:rsidSect="00AB4608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9121" w14:textId="77777777" w:rsidR="00A16C92" w:rsidRDefault="00A16C92" w:rsidP="00E152B0">
      <w:r>
        <w:separator/>
      </w:r>
    </w:p>
  </w:endnote>
  <w:endnote w:type="continuationSeparator" w:id="0">
    <w:p w14:paraId="081F0311" w14:textId="77777777" w:rsidR="00A16C92" w:rsidRDefault="00A16C92" w:rsidP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740034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285E4CE9" w14:textId="0B762ED9" w:rsidR="005023F9" w:rsidRPr="004451B6" w:rsidRDefault="005023F9">
        <w:pPr>
          <w:pStyle w:val="llb"/>
          <w:jc w:val="center"/>
          <w:rPr>
            <w:color w:val="1F3864" w:themeColor="accent5" w:themeShade="80"/>
          </w:rPr>
        </w:pPr>
        <w:r w:rsidRPr="004451B6">
          <w:rPr>
            <w:color w:val="1F3864" w:themeColor="accent5" w:themeShade="80"/>
          </w:rPr>
          <w:fldChar w:fldCharType="begin"/>
        </w:r>
        <w:r w:rsidRPr="004451B6">
          <w:rPr>
            <w:color w:val="1F3864" w:themeColor="accent5" w:themeShade="80"/>
          </w:rPr>
          <w:instrText>PAGE   \* MERGEFORMAT</w:instrText>
        </w:r>
        <w:r w:rsidRPr="004451B6">
          <w:rPr>
            <w:color w:val="1F3864" w:themeColor="accent5" w:themeShade="80"/>
          </w:rPr>
          <w:fldChar w:fldCharType="separate"/>
        </w:r>
        <w:r w:rsidRPr="004451B6">
          <w:rPr>
            <w:color w:val="1F3864" w:themeColor="accent5" w:themeShade="80"/>
          </w:rPr>
          <w:t>2</w:t>
        </w:r>
        <w:r w:rsidRPr="004451B6">
          <w:rPr>
            <w:color w:val="1F3864" w:themeColor="accent5" w:themeShade="80"/>
          </w:rPr>
          <w:fldChar w:fldCharType="end"/>
        </w:r>
      </w:p>
    </w:sdtContent>
  </w:sdt>
  <w:p w14:paraId="229382C2" w14:textId="77777777" w:rsidR="005023F9" w:rsidRDefault="0050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DC5B" w14:textId="77777777" w:rsidR="00A16C92" w:rsidRDefault="00A16C92" w:rsidP="00E152B0">
      <w:r>
        <w:separator/>
      </w:r>
    </w:p>
  </w:footnote>
  <w:footnote w:type="continuationSeparator" w:id="0">
    <w:p w14:paraId="7BA8D852" w14:textId="77777777" w:rsidR="00A16C92" w:rsidRDefault="00A16C92" w:rsidP="00E1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B0A6" w14:textId="680E54A3" w:rsidR="00E152B0" w:rsidRDefault="00F30059" w:rsidP="00F30059">
    <w:pPr>
      <w:pStyle w:val="lfej"/>
    </w:pPr>
    <w:r w:rsidRPr="00F30059">
      <w:rPr>
        <w:noProof/>
      </w:rPr>
      <w:drawing>
        <wp:inline distT="0" distB="0" distL="0" distR="0" wp14:anchorId="61804F8E" wp14:editId="5E02B674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E152B0">
      <w:rPr>
        <w:noProof/>
        <w:lang w:eastAsia="hu-HU"/>
      </w:rPr>
      <w:drawing>
        <wp:inline distT="0" distB="0" distL="0" distR="0" wp14:anchorId="4907950A" wp14:editId="42ED8DF4">
          <wp:extent cx="1295400" cy="4106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EED"/>
    <w:multiLevelType w:val="hybridMultilevel"/>
    <w:tmpl w:val="158AD17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1CB4"/>
    <w:multiLevelType w:val="hybridMultilevel"/>
    <w:tmpl w:val="92345682"/>
    <w:lvl w:ilvl="0" w:tplc="D6F655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25665"/>
    <w:multiLevelType w:val="hybridMultilevel"/>
    <w:tmpl w:val="480A1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A2404"/>
    <w:multiLevelType w:val="hybridMultilevel"/>
    <w:tmpl w:val="57469E2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341C0"/>
    <w:multiLevelType w:val="hybridMultilevel"/>
    <w:tmpl w:val="39DC0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541">
    <w:abstractNumId w:val="4"/>
  </w:num>
  <w:num w:numId="2" w16cid:durableId="679091241">
    <w:abstractNumId w:val="0"/>
  </w:num>
  <w:num w:numId="3" w16cid:durableId="1370490671">
    <w:abstractNumId w:val="5"/>
  </w:num>
  <w:num w:numId="4" w16cid:durableId="1475953755">
    <w:abstractNumId w:val="4"/>
  </w:num>
  <w:num w:numId="5" w16cid:durableId="1285044251">
    <w:abstractNumId w:val="2"/>
  </w:num>
  <w:num w:numId="6" w16cid:durableId="475798300">
    <w:abstractNumId w:val="3"/>
  </w:num>
  <w:num w:numId="7" w16cid:durableId="581528212">
    <w:abstractNumId w:val="6"/>
  </w:num>
  <w:num w:numId="8" w16cid:durableId="107906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17606"/>
    <w:rsid w:val="000265B7"/>
    <w:rsid w:val="0004388A"/>
    <w:rsid w:val="00053E5A"/>
    <w:rsid w:val="00060B31"/>
    <w:rsid w:val="00062DB4"/>
    <w:rsid w:val="000768E3"/>
    <w:rsid w:val="00093265"/>
    <w:rsid w:val="000B647E"/>
    <w:rsid w:val="000C5E90"/>
    <w:rsid w:val="000F02D9"/>
    <w:rsid w:val="000F3158"/>
    <w:rsid w:val="000F380A"/>
    <w:rsid w:val="00100F5D"/>
    <w:rsid w:val="00120C99"/>
    <w:rsid w:val="001478FB"/>
    <w:rsid w:val="00155552"/>
    <w:rsid w:val="0018764A"/>
    <w:rsid w:val="001A3593"/>
    <w:rsid w:val="001A6CDE"/>
    <w:rsid w:val="001C723E"/>
    <w:rsid w:val="001E368B"/>
    <w:rsid w:val="00202228"/>
    <w:rsid w:val="002104FC"/>
    <w:rsid w:val="0023771E"/>
    <w:rsid w:val="0026356C"/>
    <w:rsid w:val="00266A49"/>
    <w:rsid w:val="00277FA5"/>
    <w:rsid w:val="00285E7A"/>
    <w:rsid w:val="002B3B45"/>
    <w:rsid w:val="002C4F90"/>
    <w:rsid w:val="002E7205"/>
    <w:rsid w:val="002F092A"/>
    <w:rsid w:val="002F5304"/>
    <w:rsid w:val="003142A9"/>
    <w:rsid w:val="00334298"/>
    <w:rsid w:val="003939E1"/>
    <w:rsid w:val="003A54C2"/>
    <w:rsid w:val="003B3508"/>
    <w:rsid w:val="003D4813"/>
    <w:rsid w:val="00404E58"/>
    <w:rsid w:val="0041075C"/>
    <w:rsid w:val="00425D02"/>
    <w:rsid w:val="00426AE5"/>
    <w:rsid w:val="004451B6"/>
    <w:rsid w:val="0047082C"/>
    <w:rsid w:val="004863F7"/>
    <w:rsid w:val="004914D0"/>
    <w:rsid w:val="00494557"/>
    <w:rsid w:val="004A40E4"/>
    <w:rsid w:val="004C6EEB"/>
    <w:rsid w:val="004D1B04"/>
    <w:rsid w:val="004E7434"/>
    <w:rsid w:val="004F18A7"/>
    <w:rsid w:val="005023F9"/>
    <w:rsid w:val="00503A9E"/>
    <w:rsid w:val="00504004"/>
    <w:rsid w:val="00505C8F"/>
    <w:rsid w:val="005062C4"/>
    <w:rsid w:val="00507471"/>
    <w:rsid w:val="00526C89"/>
    <w:rsid w:val="00532F85"/>
    <w:rsid w:val="00533586"/>
    <w:rsid w:val="00564A0B"/>
    <w:rsid w:val="005803C6"/>
    <w:rsid w:val="005823F6"/>
    <w:rsid w:val="00594D0D"/>
    <w:rsid w:val="005A3FA2"/>
    <w:rsid w:val="005B64AE"/>
    <w:rsid w:val="005B6CC3"/>
    <w:rsid w:val="005F3BAD"/>
    <w:rsid w:val="005F5469"/>
    <w:rsid w:val="0062208E"/>
    <w:rsid w:val="00635B0F"/>
    <w:rsid w:val="00637B67"/>
    <w:rsid w:val="006521EA"/>
    <w:rsid w:val="006546F2"/>
    <w:rsid w:val="00662F00"/>
    <w:rsid w:val="00674171"/>
    <w:rsid w:val="00676B7A"/>
    <w:rsid w:val="0069604F"/>
    <w:rsid w:val="00697574"/>
    <w:rsid w:val="006B1D7F"/>
    <w:rsid w:val="006C5471"/>
    <w:rsid w:val="006D2361"/>
    <w:rsid w:val="006E54EF"/>
    <w:rsid w:val="006F5913"/>
    <w:rsid w:val="00730C08"/>
    <w:rsid w:val="007435E8"/>
    <w:rsid w:val="00755994"/>
    <w:rsid w:val="00766113"/>
    <w:rsid w:val="0077624B"/>
    <w:rsid w:val="007941E4"/>
    <w:rsid w:val="00795654"/>
    <w:rsid w:val="007A6985"/>
    <w:rsid w:val="007B445D"/>
    <w:rsid w:val="007B53EB"/>
    <w:rsid w:val="007F733C"/>
    <w:rsid w:val="00811946"/>
    <w:rsid w:val="00843CD1"/>
    <w:rsid w:val="0085151C"/>
    <w:rsid w:val="00855B0F"/>
    <w:rsid w:val="0086531A"/>
    <w:rsid w:val="00881C38"/>
    <w:rsid w:val="0088438A"/>
    <w:rsid w:val="00890D8C"/>
    <w:rsid w:val="00895A5C"/>
    <w:rsid w:val="008976F3"/>
    <w:rsid w:val="008A3E10"/>
    <w:rsid w:val="008B25EF"/>
    <w:rsid w:val="008C5407"/>
    <w:rsid w:val="008E4DE7"/>
    <w:rsid w:val="008F20A6"/>
    <w:rsid w:val="008F3A22"/>
    <w:rsid w:val="00947A9D"/>
    <w:rsid w:val="0096186E"/>
    <w:rsid w:val="009631A0"/>
    <w:rsid w:val="00985AFB"/>
    <w:rsid w:val="009A2E74"/>
    <w:rsid w:val="009A4F3F"/>
    <w:rsid w:val="009B3543"/>
    <w:rsid w:val="009C1405"/>
    <w:rsid w:val="009E5EE2"/>
    <w:rsid w:val="009F53CF"/>
    <w:rsid w:val="009F68C0"/>
    <w:rsid w:val="00A00D69"/>
    <w:rsid w:val="00A06A6B"/>
    <w:rsid w:val="00A16C92"/>
    <w:rsid w:val="00A261D6"/>
    <w:rsid w:val="00A34DD8"/>
    <w:rsid w:val="00A44311"/>
    <w:rsid w:val="00A7256A"/>
    <w:rsid w:val="00A82460"/>
    <w:rsid w:val="00A90791"/>
    <w:rsid w:val="00AB3689"/>
    <w:rsid w:val="00AB4608"/>
    <w:rsid w:val="00AE1B26"/>
    <w:rsid w:val="00AE75FE"/>
    <w:rsid w:val="00B00A54"/>
    <w:rsid w:val="00B02E97"/>
    <w:rsid w:val="00B1100C"/>
    <w:rsid w:val="00B167BE"/>
    <w:rsid w:val="00B24C29"/>
    <w:rsid w:val="00B52E34"/>
    <w:rsid w:val="00B703EC"/>
    <w:rsid w:val="00B73CD9"/>
    <w:rsid w:val="00B77C8E"/>
    <w:rsid w:val="00B9412E"/>
    <w:rsid w:val="00BB23FC"/>
    <w:rsid w:val="00BD21EA"/>
    <w:rsid w:val="00C17833"/>
    <w:rsid w:val="00C54BD4"/>
    <w:rsid w:val="00C55A4F"/>
    <w:rsid w:val="00C701FD"/>
    <w:rsid w:val="00C80D30"/>
    <w:rsid w:val="00C86096"/>
    <w:rsid w:val="00CA7DEF"/>
    <w:rsid w:val="00CB5943"/>
    <w:rsid w:val="00CB5DFB"/>
    <w:rsid w:val="00CB776F"/>
    <w:rsid w:val="00CD1B1B"/>
    <w:rsid w:val="00D15016"/>
    <w:rsid w:val="00D2034A"/>
    <w:rsid w:val="00D21B90"/>
    <w:rsid w:val="00D22BC8"/>
    <w:rsid w:val="00D33D9E"/>
    <w:rsid w:val="00D357E3"/>
    <w:rsid w:val="00D516A0"/>
    <w:rsid w:val="00D53A48"/>
    <w:rsid w:val="00D80D02"/>
    <w:rsid w:val="00DB7FA0"/>
    <w:rsid w:val="00E040E0"/>
    <w:rsid w:val="00E152B0"/>
    <w:rsid w:val="00E24725"/>
    <w:rsid w:val="00E35B17"/>
    <w:rsid w:val="00E36B0F"/>
    <w:rsid w:val="00E45752"/>
    <w:rsid w:val="00E51416"/>
    <w:rsid w:val="00E616DC"/>
    <w:rsid w:val="00E67B22"/>
    <w:rsid w:val="00EB6BA3"/>
    <w:rsid w:val="00EB7EC6"/>
    <w:rsid w:val="00EC7EBD"/>
    <w:rsid w:val="00ED054C"/>
    <w:rsid w:val="00ED6E9A"/>
    <w:rsid w:val="00F068D3"/>
    <w:rsid w:val="00F10FBC"/>
    <w:rsid w:val="00F17375"/>
    <w:rsid w:val="00F253DD"/>
    <w:rsid w:val="00F30059"/>
    <w:rsid w:val="00F51EF5"/>
    <w:rsid w:val="00F569DF"/>
    <w:rsid w:val="00F673D8"/>
    <w:rsid w:val="00F813C5"/>
    <w:rsid w:val="00FB1D92"/>
    <w:rsid w:val="00FD2AD4"/>
    <w:rsid w:val="00FE62B8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9673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2B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2B0"/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A00D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261D6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F51E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1EF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1EF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F5"/>
    <w:rPr>
      <w:rFonts w:ascii="Calibri" w:hAnsi="Calibri" w:cs="Calibri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3E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E5A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3E5A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B7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8C9-A6A5-4D41-AFCF-4C876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3</cp:revision>
  <dcterms:created xsi:type="dcterms:W3CDTF">2026-03-25T08:13:00Z</dcterms:created>
  <dcterms:modified xsi:type="dcterms:W3CDTF">2026-04-20T07:29:00Z</dcterms:modified>
</cp:coreProperties>
</file>