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2"/>
        <w:gridCol w:w="7371"/>
      </w:tblGrid>
      <w:tr w:rsidR="00A243BC" w:rsidRPr="00680AEF" w14:paraId="600BE077" w14:textId="77777777" w:rsidTr="00AA679A">
        <w:trPr>
          <w:trHeight w:val="568"/>
          <w:tblHeader/>
        </w:trPr>
        <w:tc>
          <w:tcPr>
            <w:tcW w:w="2972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80AE23B" w14:textId="77777777" w:rsidR="00A243BC" w:rsidRPr="00680AEF" w:rsidRDefault="00A243BC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371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495C0A2" w14:textId="77777777" w:rsidR="00A243BC" w:rsidRPr="00680AEF" w:rsidRDefault="00A243BC" w:rsidP="00AA679A">
            <w:pPr>
              <w:spacing w:after="160" w:line="259" w:lineRule="auto"/>
              <w:jc w:val="center"/>
              <w:rPr>
                <w:rFonts w:eastAsia="Calibri"/>
                <w:color w:val="002060"/>
                <w:sz w:val="32"/>
                <w:szCs w:val="32"/>
              </w:rPr>
            </w:pPr>
            <w:r w:rsidRP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</w:t>
            </w:r>
            <w:proofErr w:type="spellStart"/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>Mikrohitel</w:t>
            </w:r>
            <w:proofErr w:type="spellEnd"/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 MAX+</w:t>
            </w:r>
          </w:p>
        </w:tc>
      </w:tr>
      <w:tr w:rsidR="00A243BC" w:rsidRPr="00AC2EB7" w14:paraId="35913428" w14:textId="77777777" w:rsidTr="00AA679A">
        <w:trPr>
          <w:trHeight w:val="193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2AF185C" w14:textId="77777777" w:rsidR="00A243BC" w:rsidRPr="00190753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HITELÖSSZEG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5246672C" w14:textId="77777777" w:rsidR="00A243B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1 millió-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150</w:t>
            </w: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millió Ft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,</w:t>
            </w:r>
          </w:p>
          <w:p w14:paraId="71F0F672" w14:textId="77777777" w:rsidR="00A243BC" w:rsidRPr="0008705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8705C">
              <w:rPr>
                <w:rFonts w:asciiTheme="minorHAnsi" w:hAnsiTheme="minorHAnsi" w:cstheme="minorHAnsi"/>
                <w:color w:val="002060"/>
              </w:rPr>
              <w:t>(egy teljes lezárt üzleti évvel nem rendelkező (kezdő) vállalkozások esetén</w:t>
            </w:r>
            <w:r>
              <w:t xml:space="preserve"> </w:t>
            </w:r>
            <w:r w:rsidRPr="00DE257D">
              <w:rPr>
                <w:rFonts w:asciiTheme="minorHAnsi" w:hAnsiTheme="minorHAnsi" w:cstheme="minorHAnsi"/>
                <w:color w:val="002060"/>
              </w:rPr>
              <w:t xml:space="preserve">amennyiben a Vállalkozás valamennyi </w:t>
            </w:r>
            <w:proofErr w:type="spellStart"/>
            <w:r w:rsidRPr="00DE257D">
              <w:rPr>
                <w:rFonts w:asciiTheme="minorHAnsi" w:hAnsiTheme="minorHAnsi" w:cstheme="minorHAnsi"/>
                <w:color w:val="002060"/>
              </w:rPr>
              <w:t>Mikrohitel</w:t>
            </w:r>
            <w:proofErr w:type="spellEnd"/>
            <w:r w:rsidRPr="00DE257D">
              <w:rPr>
                <w:rFonts w:asciiTheme="minorHAnsi" w:hAnsiTheme="minorHAnsi" w:cstheme="minorHAnsi"/>
                <w:color w:val="002060"/>
              </w:rPr>
              <w:t xml:space="preserve"> ügylete 80%-os mértékű </w:t>
            </w:r>
            <w:proofErr w:type="spellStart"/>
            <w:r w:rsidRPr="00DE257D">
              <w:rPr>
                <w:rFonts w:asciiTheme="minorHAnsi" w:hAnsiTheme="minorHAnsi" w:cstheme="minorHAnsi"/>
                <w:color w:val="002060"/>
              </w:rPr>
              <w:t>garantőrintézményi</w:t>
            </w:r>
            <w:proofErr w:type="spellEnd"/>
            <w:r w:rsidRPr="00DE257D">
              <w:rPr>
                <w:rFonts w:asciiTheme="minorHAnsi" w:hAnsiTheme="minorHAnsi" w:cstheme="minorHAnsi"/>
                <w:color w:val="002060"/>
              </w:rPr>
              <w:t xml:space="preserve"> kezességvállalással fedezett a 1</w:t>
            </w:r>
            <w:r>
              <w:rPr>
                <w:rFonts w:asciiTheme="minorHAnsi" w:hAnsiTheme="minorHAnsi" w:cstheme="minorHAnsi"/>
                <w:color w:val="002060"/>
              </w:rPr>
              <w:t>0</w:t>
            </w:r>
            <w:r w:rsidRPr="00DE257D">
              <w:rPr>
                <w:rFonts w:asciiTheme="minorHAnsi" w:hAnsiTheme="minorHAnsi" w:cstheme="minorHAnsi"/>
                <w:color w:val="002060"/>
              </w:rPr>
              <w:t xml:space="preserve">0 millió forintot, egyéb esetekben a </w:t>
            </w:r>
            <w:r>
              <w:rPr>
                <w:rFonts w:asciiTheme="minorHAnsi" w:hAnsiTheme="minorHAnsi" w:cstheme="minorHAnsi"/>
                <w:color w:val="002060"/>
              </w:rPr>
              <w:t>50</w:t>
            </w:r>
            <w:r w:rsidRPr="00DE257D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DE257D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DE257D">
              <w:rPr>
                <w:rFonts w:asciiTheme="minorHAnsi" w:hAnsiTheme="minorHAnsi" w:cstheme="minorHAnsi"/>
                <w:color w:val="002060"/>
              </w:rPr>
              <w:t>-ot</w:t>
            </w:r>
            <w:r>
              <w:rPr>
                <w:rFonts w:asciiTheme="minorHAnsi" w:hAnsiTheme="minorHAnsi" w:cstheme="minorHAnsi"/>
                <w:color w:val="002060"/>
              </w:rPr>
              <w:t>)</w:t>
            </w:r>
          </w:p>
          <w:p w14:paraId="442B7018" w14:textId="77777777" w:rsidR="00A243BC" w:rsidRPr="0019075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color w:val="002060"/>
              </w:rPr>
              <w:t>Az adható hitel összegét úgy kell megállapítani, hogy az igényelt hitel támogatástartalma beleférjen a Vállalkozás csekély összegűi szabad támogatási keretébe.</w:t>
            </w:r>
          </w:p>
          <w:p w14:paraId="51782C26" w14:textId="77777777" w:rsidR="00A243B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Egy ügyfél összesen maximum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250</w:t>
            </w: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mFt</w:t>
            </w:r>
            <w:proofErr w:type="spellEnd"/>
            <w:r w:rsidRPr="00190753">
              <w:rPr>
                <w:rFonts w:asciiTheme="minorHAnsi" w:hAnsiTheme="minorHAnsi" w:cstheme="minorHAnsi"/>
                <w:color w:val="002060"/>
              </w:rPr>
              <w:t>,</w:t>
            </w:r>
            <w:r>
              <w:t xml:space="preserve"> (</w:t>
            </w:r>
            <w:r w:rsidRPr="00B53A60">
              <w:rPr>
                <w:rFonts w:asciiTheme="minorHAnsi" w:hAnsiTheme="minorHAnsi" w:cstheme="minorHAnsi"/>
                <w:color w:val="002060"/>
              </w:rPr>
              <w:t xml:space="preserve">egy teljes lezárt üzleti évvel nem rendelkező (kezdő) vállalkozások esetén </w:t>
            </w:r>
            <w:r w:rsidRPr="00DE257D">
              <w:rPr>
                <w:rFonts w:asciiTheme="minorHAnsi" w:hAnsiTheme="minorHAnsi" w:cstheme="minorHAnsi"/>
                <w:color w:val="002060"/>
              </w:rPr>
              <w:t xml:space="preserve">amennyiben a Vállalkozás valamennyi </w:t>
            </w:r>
            <w:proofErr w:type="spellStart"/>
            <w:r w:rsidRPr="00DE257D">
              <w:rPr>
                <w:rFonts w:asciiTheme="minorHAnsi" w:hAnsiTheme="minorHAnsi" w:cstheme="minorHAnsi"/>
                <w:color w:val="002060"/>
              </w:rPr>
              <w:t>Mikrohitel</w:t>
            </w:r>
            <w:proofErr w:type="spellEnd"/>
            <w:r w:rsidRPr="00DE257D">
              <w:rPr>
                <w:rFonts w:asciiTheme="minorHAnsi" w:hAnsiTheme="minorHAnsi" w:cstheme="minorHAnsi"/>
                <w:color w:val="002060"/>
              </w:rPr>
              <w:t xml:space="preserve"> ügylete 80%-os mértékű </w:t>
            </w:r>
            <w:proofErr w:type="spellStart"/>
            <w:r w:rsidRPr="00DE257D">
              <w:rPr>
                <w:rFonts w:asciiTheme="minorHAnsi" w:hAnsiTheme="minorHAnsi" w:cstheme="minorHAnsi"/>
                <w:color w:val="002060"/>
              </w:rPr>
              <w:t>garantőrintézményi</w:t>
            </w:r>
            <w:proofErr w:type="spellEnd"/>
            <w:r w:rsidRPr="00DE257D">
              <w:rPr>
                <w:rFonts w:asciiTheme="minorHAnsi" w:hAnsiTheme="minorHAnsi" w:cstheme="minorHAnsi"/>
                <w:color w:val="002060"/>
              </w:rPr>
              <w:t xml:space="preserve"> kezességvállalással fedezett a 150 millió forintot, egyéb esetekben a 100 </w:t>
            </w:r>
            <w:proofErr w:type="spellStart"/>
            <w:r w:rsidRPr="00DE257D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DE257D">
              <w:rPr>
                <w:rFonts w:asciiTheme="minorHAnsi" w:hAnsiTheme="minorHAnsi" w:cstheme="minorHAnsi"/>
                <w:color w:val="002060"/>
              </w:rPr>
              <w:t>-ot</w:t>
            </w:r>
            <w:r>
              <w:rPr>
                <w:rFonts w:asciiTheme="minorHAnsi" w:hAnsiTheme="minorHAnsi" w:cstheme="minorHAnsi"/>
                <w:color w:val="002060"/>
              </w:rPr>
              <w:t>)</w:t>
            </w:r>
            <w:r w:rsidRPr="00DE257D" w:rsidDel="00DE257D">
              <w:rPr>
                <w:rFonts w:asciiTheme="minorHAnsi" w:hAnsiTheme="minorHAnsi" w:cstheme="minorHAnsi"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190753">
              <w:rPr>
                <w:rFonts w:asciiTheme="minorHAnsi" w:hAnsiTheme="minorHAnsi" w:cstheme="minorHAnsi"/>
                <w:color w:val="002060"/>
              </w:rPr>
              <w:t xml:space="preserve">a kapcsolt és partnervállalkozásaival együtt összesen </w:t>
            </w: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maximum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30</w:t>
            </w: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0 </w:t>
            </w:r>
            <w:proofErr w:type="spellStart"/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mFt</w:t>
            </w:r>
            <w:proofErr w:type="spellEnd"/>
            <w:r w:rsidRPr="00190753">
              <w:rPr>
                <w:rFonts w:asciiTheme="minorHAnsi" w:hAnsiTheme="minorHAnsi" w:cstheme="minorHAnsi"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</w:rPr>
              <w:t xml:space="preserve">igényelt/jóváhagyott, </w:t>
            </w:r>
            <w:r w:rsidRPr="00190753">
              <w:rPr>
                <w:rFonts w:asciiTheme="minorHAnsi" w:hAnsiTheme="minorHAnsi" w:cstheme="minorHAnsi"/>
                <w:color w:val="002060"/>
              </w:rPr>
              <w:t xml:space="preserve">szerződött hitelösszegű Széchenyi </w:t>
            </w:r>
            <w:proofErr w:type="spellStart"/>
            <w:r w:rsidRPr="00190753">
              <w:rPr>
                <w:rFonts w:asciiTheme="minorHAnsi" w:hAnsiTheme="minorHAnsi" w:cstheme="minorHAnsi"/>
                <w:color w:val="002060"/>
              </w:rPr>
              <w:t>Mikrohitellel</w:t>
            </w:r>
            <w:proofErr w:type="spellEnd"/>
            <w:r w:rsidRPr="00190753">
              <w:rPr>
                <w:rFonts w:asciiTheme="minorHAnsi" w:hAnsiTheme="minorHAnsi" w:cstheme="minorHAnsi"/>
                <w:color w:val="002060"/>
              </w:rPr>
              <w:t xml:space="preserve"> rendelkezhet.</w:t>
            </w:r>
          </w:p>
          <w:p w14:paraId="0A428912" w14:textId="77777777" w:rsidR="00A243BC" w:rsidRPr="0019075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4454F2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Új, tisztán elektromos meghajtású személygépkocsi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2060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. bruttó 25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2060"/>
              </w:rPr>
              <w:t>Mft-ig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finanszírozható, azzal, hogy a </w:t>
            </w:r>
            <w:r w:rsidRPr="004454F2">
              <w:rPr>
                <w:rFonts w:asciiTheme="minorHAnsi" w:hAnsiTheme="minorHAnsi" w:cstheme="minorHAnsi"/>
                <w:b/>
                <w:bCs/>
                <w:color w:val="002060"/>
              </w:rPr>
              <w:t>beruházásra irányuló kérelmek esetén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Pr="00BE04D2">
              <w:rPr>
                <w:rFonts w:asciiTheme="minorHAnsi" w:hAnsiTheme="minorHAnsi" w:cstheme="minorHAnsi"/>
                <w:color w:val="002060"/>
              </w:rPr>
              <w:t xml:space="preserve">a hiteligénylő vállalkozás előző lezárt teljes üzleti évének árbevételének/bevételének </w:t>
            </w:r>
            <w:r w:rsidRPr="004D77A0">
              <w:rPr>
                <w:rFonts w:asciiTheme="minorHAnsi" w:hAnsiTheme="minorHAnsi" w:cstheme="minorHAnsi"/>
                <w:color w:val="002060"/>
              </w:rPr>
              <w:t xml:space="preserve">el kell érnie a 15 </w:t>
            </w:r>
            <w:proofErr w:type="spellStart"/>
            <w:r w:rsidRPr="004D77A0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4D77A0">
              <w:rPr>
                <w:rFonts w:asciiTheme="minorHAnsi" w:hAnsiTheme="minorHAnsi" w:cstheme="minorHAnsi"/>
                <w:color w:val="002060"/>
              </w:rPr>
              <w:t>-ot.</w:t>
            </w:r>
          </w:p>
        </w:tc>
      </w:tr>
      <w:tr w:rsidR="00A243BC" w:rsidRPr="00AC2EB7" w14:paraId="2F4DABFB" w14:textId="77777777" w:rsidTr="00AA679A">
        <w:trPr>
          <w:trHeight w:val="327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E8ABA59" w14:textId="77777777" w:rsidR="00A243BC" w:rsidRPr="00190753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FUTAMIDŐ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4B1BBDAD" w14:textId="77777777" w:rsidR="00A243B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color w:val="002060"/>
              </w:rPr>
              <w:t xml:space="preserve">min. 13, </w:t>
            </w:r>
            <w:proofErr w:type="spellStart"/>
            <w:r w:rsidRPr="00190753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190753">
              <w:rPr>
                <w:rFonts w:asciiTheme="minorHAnsi" w:hAnsiTheme="minorHAnsi" w:cstheme="minorHAnsi"/>
                <w:color w:val="002060"/>
              </w:rPr>
              <w:t>. 120 hónap.</w:t>
            </w:r>
          </w:p>
          <w:p w14:paraId="02486B6B" w14:textId="77777777" w:rsidR="00A243BC" w:rsidRPr="0019075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K</w:t>
            </w:r>
            <w:r w:rsidRPr="005203E0">
              <w:rPr>
                <w:rFonts w:asciiTheme="minorHAnsi" w:hAnsiTheme="minorHAnsi" w:cstheme="minorHAnsi"/>
                <w:color w:val="002060"/>
              </w:rPr>
              <w:t xml:space="preserve">ivéve új, tisztán elektromos meghajtású személygépkocsi finanszírozása esetén, ahol a </w:t>
            </w:r>
            <w:proofErr w:type="spellStart"/>
            <w:r w:rsidRPr="005203E0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5203E0">
              <w:rPr>
                <w:rFonts w:asciiTheme="minorHAnsi" w:hAnsiTheme="minorHAnsi" w:cstheme="minorHAnsi"/>
                <w:color w:val="002060"/>
              </w:rPr>
              <w:t>. futamidő legfeljebb 60 hónap.</w:t>
            </w:r>
          </w:p>
        </w:tc>
      </w:tr>
      <w:tr w:rsidR="00A243BC" w:rsidRPr="00AC2EB7" w14:paraId="7A09D1A5" w14:textId="77777777" w:rsidTr="00AA679A">
        <w:trPr>
          <w:trHeight w:val="722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51CB9A4C" w14:textId="77777777" w:rsidR="00A243BC" w:rsidRPr="00190753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ELVÁRT GAZDÁLKODÓI MÚLT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</w:tcPr>
          <w:p w14:paraId="0AEB257D" w14:textId="77777777" w:rsidR="00A243BC" w:rsidRPr="00BE04D2" w:rsidDel="00A458E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bookmarkStart w:id="0" w:name="_Hlk65854282"/>
            <w:r w:rsidRPr="00190753">
              <w:rPr>
                <w:rFonts w:asciiTheme="minorHAnsi" w:hAnsiTheme="minorHAnsi" w:cstheme="minorHAnsi"/>
                <w:color w:val="002060"/>
              </w:rPr>
              <w:t>Akár kezdő (egy teljes lezárt évvel nem rendelkező) vállalkozások is finanszírozhatók</w:t>
            </w:r>
            <w:bookmarkEnd w:id="0"/>
            <w:r w:rsidRPr="00190753">
              <w:rPr>
                <w:rFonts w:asciiTheme="minorHAnsi" w:hAnsiTheme="minorHAnsi" w:cstheme="minorHAnsi"/>
                <w:color w:val="002060"/>
              </w:rPr>
              <w:t xml:space="preserve">. </w:t>
            </w:r>
          </w:p>
        </w:tc>
      </w:tr>
      <w:tr w:rsidR="00A243BC" w:rsidRPr="00AC2EB7" w14:paraId="28BD6C83" w14:textId="77777777" w:rsidTr="00AA679A">
        <w:trPr>
          <w:trHeight w:val="552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65BCB1B5" w14:textId="77777777" w:rsidR="00A243BC" w:rsidRPr="00190753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EGYSZERI SZERZŐDÉSKÖTÉSI DÍJ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</w:tcPr>
          <w:p w14:paraId="12FA55E2" w14:textId="77777777" w:rsidR="00A243BC" w:rsidRPr="00190753" w:rsidDel="00A458E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color w:val="002060"/>
              </w:rPr>
              <w:t>A szerződött hitelösszeg 1%-a, de min 200 ezer Ft</w:t>
            </w:r>
          </w:p>
        </w:tc>
      </w:tr>
      <w:tr w:rsidR="00A243BC" w:rsidRPr="00AC2EB7" w14:paraId="7FB440A2" w14:textId="77777777" w:rsidTr="00AA679A">
        <w:trPr>
          <w:trHeight w:val="27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5F893EB" w14:textId="77777777" w:rsidR="00A243BC" w:rsidRPr="00190753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KAMATTÁMOGATÁS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F45EF" w14:textId="77777777" w:rsidR="00A243B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10,5 </w:t>
            </w:r>
            <w:r w:rsidRPr="00190753">
              <w:rPr>
                <w:rFonts w:asciiTheme="minorHAnsi" w:hAnsiTheme="minorHAnsi" w:cstheme="minorHAnsi"/>
                <w:color w:val="002060"/>
              </w:rPr>
              <w:t>%/év</w:t>
            </w:r>
          </w:p>
          <w:p w14:paraId="783AB810" w14:textId="77777777" w:rsidR="00A243BC" w:rsidRPr="0019075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A243BC" w:rsidRPr="00AC2EB7" w14:paraId="66CB082C" w14:textId="77777777" w:rsidTr="00AA679A">
        <w:trPr>
          <w:trHeight w:val="27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1208CC0" w14:textId="77777777" w:rsidR="00A243BC" w:rsidRPr="00190753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FIZETENDŐ NETTÓ KAMAT/ÉV</w:t>
            </w:r>
          </w:p>
        </w:tc>
        <w:tc>
          <w:tcPr>
            <w:tcW w:w="7371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18C46C02" w14:textId="77777777" w:rsidR="00A243B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FIX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3</w:t>
            </w: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%</w:t>
            </w:r>
          </w:p>
          <w:p w14:paraId="42703C6D" w14:textId="77777777" w:rsidR="00A243BC" w:rsidRPr="0019075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</w:p>
        </w:tc>
      </w:tr>
      <w:tr w:rsidR="00A243BC" w:rsidRPr="00AC2EB7" w14:paraId="4404A9DD" w14:textId="77777777" w:rsidTr="00AA679A">
        <w:trPr>
          <w:trHeight w:val="229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16057360" w14:textId="77777777" w:rsidR="00A243BC" w:rsidRPr="00190753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NETTÓ KEZELÉSI KÖLTSÉG /ÉV</w:t>
            </w:r>
          </w:p>
        </w:tc>
        <w:tc>
          <w:tcPr>
            <w:tcW w:w="7371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6A27F939" w14:textId="77777777" w:rsidR="00A243B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color w:val="002060"/>
              </w:rPr>
              <w:t>0%</w:t>
            </w:r>
          </w:p>
          <w:p w14:paraId="1A90E743" w14:textId="77777777" w:rsidR="00A243BC" w:rsidRPr="0019075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Az állami támogatásnak köszönhetően.</w:t>
            </w:r>
          </w:p>
        </w:tc>
      </w:tr>
      <w:tr w:rsidR="00A243BC" w:rsidRPr="00AC2EB7" w14:paraId="09BDDB7C" w14:textId="77777777" w:rsidTr="00AA679A">
        <w:trPr>
          <w:trHeight w:val="81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01F569CB" w14:textId="77777777" w:rsidR="00A243BC" w:rsidRDefault="00A243BC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KEZESSÉGI DÍJTÁMOGATÁS</w:t>
            </w:r>
            <w:r w:rsidRPr="007E5FE1">
              <w:t xml:space="preserve"> </w:t>
            </w:r>
            <w:r w:rsidRPr="00190753">
              <w:rPr>
                <w:rFonts w:asciiTheme="minorHAnsi" w:hAnsiTheme="minorHAnsi" w:cstheme="minorHAnsi"/>
                <w:color w:val="002060"/>
              </w:rPr>
              <w:t>(</w:t>
            </w:r>
            <w:proofErr w:type="spellStart"/>
            <w:r w:rsidRPr="00190753">
              <w:rPr>
                <w:rFonts w:asciiTheme="minorHAnsi" w:hAnsiTheme="minorHAnsi" w:cstheme="minorHAnsi"/>
                <w:color w:val="002060"/>
              </w:rPr>
              <w:t>garantőr</w:t>
            </w:r>
            <w:proofErr w:type="spellEnd"/>
            <w:r w:rsidRPr="00190753">
              <w:rPr>
                <w:rFonts w:asciiTheme="minorHAnsi" w:hAnsiTheme="minorHAnsi" w:cstheme="minorHAnsi"/>
                <w:color w:val="002060"/>
              </w:rPr>
              <w:t xml:space="preserve"> intézmény bevonása esetén)</w:t>
            </w:r>
          </w:p>
          <w:p w14:paraId="3EE83071" w14:textId="77777777" w:rsidR="00A243BC" w:rsidRPr="00190753" w:rsidRDefault="00A243BC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6C973285" w14:textId="77777777" w:rsidR="00A243BC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8A0760">
              <w:rPr>
                <w:rFonts w:asciiTheme="minorHAnsi" w:hAnsiTheme="minorHAnsi" w:cstheme="minorHAnsi"/>
                <w:b/>
                <w:bCs/>
                <w:color w:val="002060"/>
              </w:rPr>
              <w:t>Garantiqa</w:t>
            </w:r>
            <w:proofErr w:type="spellEnd"/>
            <w:r w:rsidRPr="008A0760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kezesség esetén</w:t>
            </w:r>
            <w:r w:rsidRPr="008A0760">
              <w:rPr>
                <w:rFonts w:asciiTheme="minorHAnsi" w:hAnsiTheme="minorHAnsi" w:cstheme="minorHAnsi"/>
                <w:color w:val="002060"/>
              </w:rPr>
              <w:t xml:space="preserve"> :</w:t>
            </w:r>
            <w:r w:rsidRPr="00190753">
              <w:rPr>
                <w:rFonts w:asciiTheme="minorHAnsi" w:hAnsiTheme="minorHAnsi" w:cstheme="minorHAnsi"/>
                <w:color w:val="002060"/>
              </w:rPr>
              <w:t>1%/év</w:t>
            </w:r>
          </w:p>
          <w:p w14:paraId="7F7A167E" w14:textId="77777777" w:rsidR="00A243BC" w:rsidRPr="00190753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A0760">
              <w:rPr>
                <w:rFonts w:asciiTheme="minorHAnsi" w:hAnsiTheme="minorHAnsi" w:cstheme="minorHAnsi"/>
                <w:b/>
                <w:bCs/>
                <w:color w:val="002060"/>
              </w:rPr>
              <w:t>AVHGA kezesség esetén:</w:t>
            </w:r>
            <w:r w:rsidRPr="008A0760">
              <w:rPr>
                <w:rFonts w:asciiTheme="minorHAnsi" w:hAnsiTheme="minorHAnsi" w:cstheme="minorHAnsi"/>
                <w:color w:val="002060"/>
              </w:rPr>
              <w:t xml:space="preserve"> 0,89%/év</w:t>
            </w:r>
          </w:p>
        </w:tc>
      </w:tr>
      <w:tr w:rsidR="00A243BC" w:rsidRPr="00AC2EB7" w14:paraId="7CA361B3" w14:textId="77777777" w:rsidTr="00AA679A">
        <w:trPr>
          <w:trHeight w:val="642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5399D353" w14:textId="77777777" w:rsidR="00A243BC" w:rsidRPr="00190753" w:rsidRDefault="00A243BC" w:rsidP="00AA679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lastRenderedPageBreak/>
              <w:t>NETTÓ KEZESSÉGI DÍJ (%)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4F4D0898" w14:textId="77777777" w:rsidR="00A243BC" w:rsidRDefault="00A243BC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</w:rPr>
              <w:t>Garantiqa</w:t>
            </w:r>
            <w:proofErr w:type="spellEnd"/>
            <w:r>
              <w:rPr>
                <w:rFonts w:asciiTheme="minorHAnsi" w:hAnsiTheme="minorHAnsi" w:cstheme="minorHAnsi"/>
                <w:color w:val="002060"/>
              </w:rPr>
              <w:t xml:space="preserve"> kezesség esetén: </w:t>
            </w:r>
            <w:r w:rsidRPr="00190753">
              <w:rPr>
                <w:rFonts w:asciiTheme="minorHAnsi" w:hAnsiTheme="minorHAnsi" w:cstheme="minorHAnsi"/>
                <w:color w:val="002060"/>
              </w:rPr>
              <w:t>0,</w:t>
            </w:r>
            <w:r>
              <w:rPr>
                <w:rFonts w:asciiTheme="minorHAnsi" w:hAnsiTheme="minorHAnsi" w:cstheme="minorHAnsi"/>
                <w:color w:val="002060"/>
              </w:rPr>
              <w:t>15</w:t>
            </w:r>
            <w:r w:rsidRPr="00190753">
              <w:rPr>
                <w:rFonts w:asciiTheme="minorHAnsi" w:hAnsiTheme="minorHAnsi" w:cstheme="minorHAnsi"/>
                <w:color w:val="002060"/>
              </w:rPr>
              <w:t>%/év.</w:t>
            </w:r>
            <w:r>
              <w:rPr>
                <w:rFonts w:asciiTheme="minorHAnsi" w:hAnsiTheme="minorHAnsi" w:cstheme="minorHAnsi"/>
                <w:color w:val="002060"/>
              </w:rPr>
              <w:t xml:space="preserve"> (</w:t>
            </w:r>
            <w:r w:rsidRPr="00700C22">
              <w:rPr>
                <w:rFonts w:asciiTheme="minorHAnsi" w:hAnsiTheme="minorHAnsi" w:cstheme="minorHAnsi"/>
                <w:color w:val="002060"/>
              </w:rPr>
              <w:t>minimum díj: 5.000 Ft</w:t>
            </w:r>
            <w:r>
              <w:rPr>
                <w:rFonts w:asciiTheme="minorHAnsi" w:hAnsiTheme="minorHAnsi" w:cstheme="minorHAnsi"/>
                <w:color w:val="002060"/>
              </w:rPr>
              <w:t>)</w:t>
            </w:r>
          </w:p>
          <w:p w14:paraId="594F8935" w14:textId="77777777" w:rsidR="00A243BC" w:rsidRDefault="00A243BC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7D65FB">
              <w:rPr>
                <w:rFonts w:asciiTheme="minorHAnsi" w:hAnsiTheme="minorHAnsi" w:cstheme="minorHAnsi"/>
                <w:color w:val="002060"/>
              </w:rPr>
              <w:t>AVHGA</w:t>
            </w:r>
            <w:r>
              <w:rPr>
                <w:rFonts w:asciiTheme="minorHAnsi" w:hAnsiTheme="minorHAnsi" w:cstheme="minorHAnsi"/>
                <w:color w:val="002060"/>
              </w:rPr>
              <w:t xml:space="preserve"> kezesség esetén:</w:t>
            </w:r>
          </w:p>
          <w:p w14:paraId="5B4F95DC" w14:textId="77777777" w:rsidR="00A243BC" w:rsidRDefault="00A243BC" w:rsidP="00A243BC">
            <w:pPr>
              <w:pStyle w:val="Listaszerbekezds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2060"/>
              </w:rPr>
            </w:pPr>
            <w:r w:rsidRPr="002335B5">
              <w:rPr>
                <w:rFonts w:asciiTheme="minorHAnsi" w:hAnsiTheme="minorHAnsi" w:cstheme="minorHAnsi"/>
                <w:color w:val="002060"/>
              </w:rPr>
              <w:t>Kedvezményes kezességi díj esetén 0%/év</w:t>
            </w:r>
          </w:p>
          <w:p w14:paraId="1735106F" w14:textId="77777777" w:rsidR="00A243BC" w:rsidRPr="002335B5" w:rsidRDefault="00A243BC" w:rsidP="00AA679A">
            <w:pPr>
              <w:pStyle w:val="Listaszerbekezds"/>
              <w:ind w:left="360"/>
              <w:rPr>
                <w:rFonts w:asciiTheme="minorHAnsi" w:hAnsiTheme="minorHAnsi" w:cstheme="minorHAnsi"/>
                <w:color w:val="002060"/>
              </w:rPr>
            </w:pPr>
          </w:p>
          <w:p w14:paraId="69C4414C" w14:textId="77777777" w:rsidR="00A243BC" w:rsidRPr="00F715A9" w:rsidRDefault="00A243BC" w:rsidP="00A243BC">
            <w:pPr>
              <w:pStyle w:val="Listaszerbekezds"/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F715A9">
              <w:rPr>
                <w:rFonts w:asciiTheme="minorHAnsi" w:hAnsiTheme="minorHAnsi" w:cstheme="minorHAnsi"/>
                <w:color w:val="002060"/>
              </w:rPr>
              <w:t>Elsődleges agrárügylet esetén: 0%/év</w:t>
            </w:r>
          </w:p>
          <w:p w14:paraId="2909EBAF" w14:textId="77777777" w:rsidR="00A243BC" w:rsidRPr="00190753" w:rsidRDefault="00A243BC" w:rsidP="00A243BC">
            <w:pPr>
              <w:pStyle w:val="Listaszerbekezds"/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F715A9">
              <w:rPr>
                <w:rFonts w:asciiTheme="minorHAnsi" w:hAnsiTheme="minorHAnsi" w:cstheme="minorHAnsi"/>
                <w:color w:val="002060"/>
              </w:rPr>
              <w:t>nem elsődleges agrárügylet esetén: 0,13%/év</w:t>
            </w:r>
          </w:p>
        </w:tc>
      </w:tr>
      <w:tr w:rsidR="00A243BC" w:rsidRPr="00AC2EB7" w14:paraId="5CA84A53" w14:textId="77777777" w:rsidTr="00AA679A">
        <w:trPr>
          <w:trHeight w:val="498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22E81B05" w14:textId="77777777" w:rsidR="00A243BC" w:rsidRPr="007A0F8A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412D9">
              <w:rPr>
                <w:rFonts w:asciiTheme="minorHAnsi" w:hAnsiTheme="minorHAnsi" w:cstheme="minorHAnsi"/>
                <w:b/>
                <w:bCs/>
                <w:color w:val="002060"/>
              </w:rPr>
              <w:t>FOLYÓSÍTÁSI JUTALÉK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3D61668F" w14:textId="77777777" w:rsidR="00A243BC" w:rsidRPr="007A0F8A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412D9">
              <w:rPr>
                <w:rFonts w:asciiTheme="minorHAnsi" w:hAnsiTheme="minorHAnsi" w:cstheme="minorHAnsi"/>
                <w:color w:val="002060"/>
              </w:rPr>
              <w:t>15 ezer Ft / folyósítás</w:t>
            </w:r>
          </w:p>
        </w:tc>
      </w:tr>
      <w:tr w:rsidR="00A243BC" w:rsidRPr="00AC2EB7" w14:paraId="7891973F" w14:textId="77777777" w:rsidTr="00AA679A">
        <w:trPr>
          <w:trHeight w:val="964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3F382BD8" w14:textId="77777777" w:rsidR="00A243BC" w:rsidRPr="002412D9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t>FINANSZÍROZÁSI CÉLOK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68F6C134" w14:textId="77777777" w:rsidR="00A243BC" w:rsidRPr="00BD378D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t>Agrár és nem agrár célú beruházási hitelcélok</w:t>
            </w:r>
            <w:r w:rsidRPr="00BD378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  <w:p w14:paraId="5D5EC985" w14:textId="77777777" w:rsidR="00A243BC" w:rsidRPr="00BD378D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t>Ingatlan</w:t>
            </w:r>
            <w:r w:rsidRPr="00BD378D">
              <w:rPr>
                <w:rFonts w:asciiTheme="minorHAnsi" w:hAnsiTheme="minorHAnsi" w:cstheme="minorHAnsi"/>
                <w:color w:val="002060"/>
              </w:rPr>
              <w:t>: üzlethelyiség, telephely, iroda, egyéb, kizárólag a vállalkozás működésével összefüggésben felmerülő ingatlan vásárlás, fejlesztés, akár bérbeadási célra.</w:t>
            </w:r>
          </w:p>
          <w:p w14:paraId="1865E729" w14:textId="77777777" w:rsidR="00A243BC" w:rsidRDefault="00A243BC" w:rsidP="00AA679A">
            <w:pPr>
              <w:spacing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>Ú</w:t>
            </w:r>
            <w:r w:rsidRPr="002368E5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j, tisztán elektromos meghajtású </w:t>
            </w:r>
            <w:r w:rsidRPr="0008705C">
              <w:rPr>
                <w:rFonts w:asciiTheme="minorHAnsi" w:hAnsiTheme="minorHAnsi" w:cstheme="minorHAnsi"/>
                <w:color w:val="002060"/>
              </w:rPr>
              <w:t xml:space="preserve">személygépkocsi </w:t>
            </w:r>
            <w:proofErr w:type="spellStart"/>
            <w:r w:rsidRPr="0008705C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08705C">
              <w:rPr>
                <w:rFonts w:asciiTheme="minorHAnsi" w:hAnsiTheme="minorHAnsi" w:cstheme="minorHAnsi"/>
                <w:color w:val="002060"/>
              </w:rPr>
              <w:t xml:space="preserve">. </w:t>
            </w:r>
            <w:r>
              <w:rPr>
                <w:rFonts w:asciiTheme="minorHAnsi" w:hAnsiTheme="minorHAnsi" w:cstheme="minorHAnsi"/>
                <w:color w:val="002060"/>
              </w:rPr>
              <w:t>bruttó</w:t>
            </w:r>
            <w:r w:rsidRPr="0008705C">
              <w:rPr>
                <w:rFonts w:asciiTheme="minorHAnsi" w:hAnsiTheme="minorHAnsi" w:cstheme="minorHAnsi"/>
                <w:color w:val="002060"/>
              </w:rPr>
              <w:t xml:space="preserve"> 25 </w:t>
            </w:r>
            <w:proofErr w:type="spellStart"/>
            <w:r w:rsidRPr="0008705C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08705C">
              <w:rPr>
                <w:rFonts w:asciiTheme="minorHAnsi" w:hAnsiTheme="minorHAnsi" w:cstheme="minorHAnsi"/>
                <w:color w:val="002060"/>
              </w:rPr>
              <w:t xml:space="preserve"> vételárig (tehát pl. hibrid, </w:t>
            </w:r>
            <w:proofErr w:type="spellStart"/>
            <w:r w:rsidRPr="0008705C">
              <w:rPr>
                <w:rFonts w:asciiTheme="minorHAnsi" w:hAnsiTheme="minorHAnsi" w:cstheme="minorHAnsi"/>
                <w:color w:val="002060"/>
              </w:rPr>
              <w:t>plug</w:t>
            </w:r>
            <w:proofErr w:type="spellEnd"/>
            <w:r w:rsidRPr="0008705C">
              <w:rPr>
                <w:rFonts w:asciiTheme="minorHAnsi" w:hAnsiTheme="minorHAnsi" w:cstheme="minorHAnsi"/>
                <w:color w:val="002060"/>
              </w:rPr>
              <w:t>-in járművek finanszírozása nem lehetséges)</w:t>
            </w:r>
          </w:p>
          <w:p w14:paraId="1861BC54" w14:textId="77777777" w:rsidR="00A243BC" w:rsidRPr="0008705C" w:rsidRDefault="00A243BC" w:rsidP="00AA679A">
            <w:pPr>
              <w:spacing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D7773E">
              <w:rPr>
                <w:rFonts w:asciiTheme="minorHAnsi" w:hAnsiTheme="minorHAnsi" w:cstheme="minorHAnsi"/>
                <w:b/>
                <w:bCs/>
                <w:color w:val="002060"/>
              </w:rPr>
              <w:t>Új elektromos kerékpár</w:t>
            </w:r>
            <w:r w:rsidRPr="004D77A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4D77A0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4D77A0">
              <w:rPr>
                <w:rFonts w:asciiTheme="minorHAnsi" w:hAnsiTheme="minorHAnsi" w:cstheme="minorHAnsi"/>
                <w:color w:val="002060"/>
              </w:rPr>
              <w:t xml:space="preserve">. nettó 2,5 </w:t>
            </w:r>
            <w:proofErr w:type="spellStart"/>
            <w:r w:rsidRPr="004D77A0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4D77A0">
              <w:rPr>
                <w:rFonts w:asciiTheme="minorHAnsi" w:hAnsiTheme="minorHAnsi" w:cstheme="minorHAnsi"/>
                <w:color w:val="002060"/>
              </w:rPr>
              <w:t xml:space="preserve"> vételárig</w:t>
            </w:r>
          </w:p>
          <w:p w14:paraId="7882B156" w14:textId="77777777" w:rsidR="00A243BC" w:rsidRDefault="00A243BC" w:rsidP="00AA679A">
            <w:pPr>
              <w:spacing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2368E5">
              <w:rPr>
                <w:rFonts w:asciiTheme="minorHAnsi" w:hAnsiTheme="minorHAnsi" w:cstheme="minorHAnsi"/>
                <w:b/>
                <w:bCs/>
                <w:color w:val="002060"/>
              </w:rPr>
              <w:t>Új, vagy használt kis-és nagyhaszongépjárművek</w:t>
            </w:r>
            <w:r w:rsidRPr="0008705C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(vontatmányaik) beszerzése</w:t>
            </w:r>
            <w:r w:rsidRPr="00BD378D">
              <w:rPr>
                <w:rFonts w:asciiTheme="minorHAnsi" w:hAnsiTheme="minorHAnsi" w:cstheme="minorHAnsi"/>
                <w:color w:val="002060"/>
              </w:rPr>
              <w:t>, az alábbi korlátozásokkal:</w:t>
            </w:r>
          </w:p>
          <w:p w14:paraId="48DA33BE" w14:textId="77777777" w:rsidR="00A243BC" w:rsidRPr="00BD378D" w:rsidRDefault="00A243BC" w:rsidP="00AA679A">
            <w:pPr>
              <w:spacing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Kizárt a konstrukcióban:</w:t>
            </w:r>
          </w:p>
          <w:p w14:paraId="75FFD178" w14:textId="77777777" w:rsidR="00A243BC" w:rsidRPr="00BD378D" w:rsidRDefault="00A243BC" w:rsidP="00A243BC">
            <w:pPr>
              <w:pStyle w:val="Listaszerbekezds"/>
              <w:widowControl w:val="0"/>
              <w:numPr>
                <w:ilvl w:val="0"/>
                <w:numId w:val="16"/>
              </w:numPr>
              <w:tabs>
                <w:tab w:val="left" w:pos="-3544"/>
                <w:tab w:val="left" w:pos="284"/>
                <w:tab w:val="left" w:pos="567"/>
                <w:tab w:val="left" w:pos="851"/>
              </w:tabs>
              <w:adjustRightInd w:val="0"/>
              <w:ind w:right="70"/>
              <w:jc w:val="both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BD378D">
              <w:rPr>
                <w:rFonts w:asciiTheme="minorHAnsi" w:hAnsiTheme="minorHAnsi" w:cstheme="minorHAnsi"/>
                <w:color w:val="002060"/>
              </w:rPr>
              <w:t>pick-up-nak</w:t>
            </w:r>
            <w:proofErr w:type="spellEnd"/>
            <w:r w:rsidRPr="00BD378D">
              <w:rPr>
                <w:rFonts w:asciiTheme="minorHAnsi" w:hAnsiTheme="minorHAnsi" w:cstheme="minorHAnsi"/>
                <w:color w:val="002060"/>
              </w:rPr>
              <w:t xml:space="preserve"> vagy terepjárónak minősülő (jellemzően N1G jármű kategória besorolású), valamint</w:t>
            </w:r>
          </w:p>
          <w:p w14:paraId="7213D370" w14:textId="77777777" w:rsidR="00A243BC" w:rsidRPr="00BD378D" w:rsidRDefault="00A243BC" w:rsidP="00A243BC">
            <w:pPr>
              <w:pStyle w:val="Listaszerbekezds"/>
              <w:widowControl w:val="0"/>
              <w:numPr>
                <w:ilvl w:val="0"/>
                <w:numId w:val="16"/>
              </w:numPr>
              <w:tabs>
                <w:tab w:val="left" w:pos="-3544"/>
                <w:tab w:val="left" w:pos="284"/>
                <w:tab w:val="left" w:pos="567"/>
                <w:tab w:val="left" w:pos="851"/>
              </w:tabs>
              <w:adjustRightInd w:val="0"/>
              <w:ind w:right="70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color w:val="002060"/>
              </w:rPr>
              <w:t xml:space="preserve">a 25 </w:t>
            </w:r>
            <w:proofErr w:type="spellStart"/>
            <w:r w:rsidRPr="00BD378D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BD378D">
              <w:rPr>
                <w:rFonts w:asciiTheme="minorHAnsi" w:hAnsiTheme="minorHAnsi" w:cstheme="minorHAnsi"/>
                <w:color w:val="002060"/>
              </w:rPr>
              <w:t xml:space="preserve"> + ÁFA összeget meghaladó vételárú</w:t>
            </w:r>
            <w:r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BD378D">
              <w:rPr>
                <w:rFonts w:asciiTheme="minorHAnsi" w:hAnsiTheme="minorHAnsi" w:cstheme="minorHAnsi"/>
                <w:color w:val="002060"/>
              </w:rPr>
              <w:t xml:space="preserve">kishaszongépjárművek, valamint a </w:t>
            </w:r>
            <w:proofErr w:type="spellStart"/>
            <w:r w:rsidRPr="00BD378D">
              <w:rPr>
                <w:rFonts w:asciiTheme="minorHAnsi" w:hAnsiTheme="minorHAnsi" w:cstheme="minorHAnsi"/>
                <w:color w:val="002060"/>
              </w:rPr>
              <w:t>quad</w:t>
            </w:r>
            <w:proofErr w:type="spellEnd"/>
            <w:r w:rsidRPr="00BD378D">
              <w:rPr>
                <w:rFonts w:asciiTheme="minorHAnsi" w:hAnsiTheme="minorHAnsi" w:cstheme="minorHAnsi"/>
                <w:color w:val="002060"/>
              </w:rPr>
              <w:t>-ok finanszírozása (a műbizonylat szerinti besorolásuktól függetlenül).</w:t>
            </w:r>
          </w:p>
          <w:p w14:paraId="7DA370C9" w14:textId="77777777" w:rsidR="00A243BC" w:rsidRDefault="00A243BC" w:rsidP="00AA679A">
            <w:pPr>
              <w:widowControl w:val="0"/>
              <w:tabs>
                <w:tab w:val="left" w:pos="-3544"/>
                <w:tab w:val="left" w:pos="31"/>
              </w:tabs>
              <w:adjustRightInd w:val="0"/>
              <w:ind w:right="70"/>
              <w:rPr>
                <w:rFonts w:asciiTheme="minorHAnsi" w:hAnsiTheme="minorHAnsi" w:cstheme="minorHAnsi"/>
                <w:color w:val="002060"/>
              </w:rPr>
            </w:pPr>
            <w:r w:rsidRPr="007A0F8A">
              <w:rPr>
                <w:rFonts w:asciiTheme="minorHAnsi" w:hAnsiTheme="minorHAnsi" w:cstheme="minorHAnsi"/>
                <w:color w:val="002060"/>
              </w:rPr>
              <w:tab/>
            </w:r>
          </w:p>
          <w:p w14:paraId="022ACE07" w14:textId="77777777" w:rsidR="00A243BC" w:rsidRPr="00BD378D" w:rsidRDefault="00A243BC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t>Immateriális javak</w:t>
            </w:r>
            <w:r w:rsidRPr="00BD378D">
              <w:rPr>
                <w:rFonts w:asciiTheme="minorHAnsi" w:hAnsiTheme="minorHAnsi" w:cstheme="minorHAnsi"/>
                <w:color w:val="002060"/>
              </w:rPr>
              <w:t xml:space="preserve"> beszerzése,</w:t>
            </w:r>
          </w:p>
          <w:p w14:paraId="3F2E9186" w14:textId="77777777" w:rsidR="00A243BC" w:rsidRPr="002412D9" w:rsidRDefault="00A243BC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t>Forgóeszköz beszerzés</w:t>
            </w:r>
            <w:r w:rsidRPr="00BD378D">
              <w:rPr>
                <w:rFonts w:asciiTheme="minorHAnsi" w:hAnsiTheme="minorHAnsi" w:cstheme="minorHAnsi"/>
                <w:color w:val="002060"/>
              </w:rPr>
              <w:t xml:space="preserve">, mely a hitel </w:t>
            </w:r>
            <w:proofErr w:type="spellStart"/>
            <w:r w:rsidRPr="00BD378D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BD378D">
              <w:rPr>
                <w:rFonts w:asciiTheme="minorHAnsi" w:hAnsiTheme="minorHAnsi" w:cstheme="minorHAnsi"/>
                <w:color w:val="002060"/>
              </w:rPr>
              <w:t>. 20 %-</w:t>
            </w:r>
            <w:proofErr w:type="spellStart"/>
            <w:r w:rsidRPr="00BD378D">
              <w:rPr>
                <w:rFonts w:asciiTheme="minorHAnsi" w:hAnsiTheme="minorHAnsi" w:cstheme="minorHAnsi"/>
                <w:color w:val="002060"/>
              </w:rPr>
              <w:t>ig</w:t>
            </w:r>
            <w:proofErr w:type="spellEnd"/>
            <w:r w:rsidRPr="00BD378D">
              <w:rPr>
                <w:rFonts w:asciiTheme="minorHAnsi" w:hAnsiTheme="minorHAnsi" w:cstheme="minorHAnsi"/>
                <w:color w:val="002060"/>
              </w:rPr>
              <w:t xml:space="preserve"> terjedhet.</w:t>
            </w:r>
          </w:p>
        </w:tc>
      </w:tr>
      <w:tr w:rsidR="00A243BC" w:rsidRPr="00AC2EB7" w14:paraId="37E1FBC0" w14:textId="77777777" w:rsidTr="00AA679A">
        <w:trPr>
          <w:trHeight w:val="1359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04644D5E" w14:textId="77777777" w:rsidR="00A243BC" w:rsidRPr="004149C2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t>BIZTOSÍTÉK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6F8BDD5" w14:textId="77777777" w:rsidR="00A243BC" w:rsidRDefault="00A243BC" w:rsidP="00A243BC">
            <w:pPr>
              <w:pStyle w:val="Listaszerbekezds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2368E5">
              <w:rPr>
                <w:rFonts w:asciiTheme="minorHAnsi" w:hAnsiTheme="minorHAnsi" w:cstheme="minorHAnsi"/>
                <w:b/>
                <w:bCs/>
                <w:color w:val="002060"/>
              </w:rPr>
              <w:t>Dologi biztosíték kötelezően bevonandó</w:t>
            </w:r>
            <w:r w:rsidRPr="002368E5">
              <w:rPr>
                <w:rFonts w:asciiTheme="minorHAnsi" w:hAnsiTheme="minorHAnsi" w:cstheme="minorHAnsi"/>
                <w:color w:val="002060"/>
              </w:rPr>
              <w:t>, amely lehet a beruházás tárgya is, amennyiben az ügylet fedezettsége nem éri el a 115 %-ot,</w:t>
            </w:r>
            <w:r w:rsidRPr="00B15659">
              <w:t xml:space="preserve"> </w:t>
            </w:r>
            <w:r w:rsidRPr="002368E5">
              <w:rPr>
                <w:rFonts w:asciiTheme="minorHAnsi" w:hAnsiTheme="minorHAnsi" w:cstheme="minorHAnsi"/>
                <w:color w:val="002060"/>
              </w:rPr>
              <w:t xml:space="preserve">illetve teljes mértékben óvadék biztosíték esetén a 100 %-ot, </w:t>
            </w:r>
            <w:r w:rsidRPr="002368E5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garanciaintézmény </w:t>
            </w:r>
            <w:r w:rsidRPr="002368E5">
              <w:rPr>
                <w:rFonts w:asciiTheme="minorHAnsi" w:hAnsiTheme="minorHAnsi" w:cstheme="minorHAnsi"/>
                <w:color w:val="002060"/>
              </w:rPr>
              <w:t xml:space="preserve">bevonása kötelező, egyéb esetekben opcionális (mértéke fix 80 %). </w:t>
            </w:r>
          </w:p>
          <w:p w14:paraId="5F974E12" w14:textId="77777777" w:rsidR="00A243BC" w:rsidRPr="002368E5" w:rsidRDefault="00A243BC" w:rsidP="00A243BC">
            <w:pPr>
              <w:pStyle w:val="Listaszerbekezds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08705C">
              <w:rPr>
                <w:rFonts w:asciiTheme="minorHAnsi" w:hAnsiTheme="minorHAnsi" w:cstheme="minorHAnsi"/>
                <w:b/>
                <w:bCs/>
                <w:color w:val="002060"/>
              </w:rPr>
              <w:t>Új, tisztán elektromos meghajtású</w:t>
            </w:r>
            <w:r w:rsidRPr="002368E5">
              <w:rPr>
                <w:rFonts w:asciiTheme="minorHAnsi" w:hAnsiTheme="minorHAnsi" w:cstheme="minorHAnsi"/>
                <w:color w:val="002060"/>
              </w:rPr>
              <w:t xml:space="preserve"> (</w:t>
            </w:r>
            <w:proofErr w:type="spellStart"/>
            <w:r w:rsidRPr="002368E5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2368E5">
              <w:rPr>
                <w:rFonts w:asciiTheme="minorHAnsi" w:hAnsiTheme="minorHAnsi" w:cstheme="minorHAnsi"/>
                <w:color w:val="002060"/>
              </w:rPr>
              <w:t xml:space="preserve">. </w:t>
            </w:r>
            <w:r>
              <w:rPr>
                <w:rFonts w:asciiTheme="minorHAnsi" w:hAnsiTheme="minorHAnsi" w:cstheme="minorHAnsi"/>
                <w:color w:val="002060"/>
              </w:rPr>
              <w:t>bruttó</w:t>
            </w:r>
            <w:r w:rsidRPr="002368E5">
              <w:rPr>
                <w:rFonts w:asciiTheme="minorHAnsi" w:hAnsiTheme="minorHAnsi" w:cstheme="minorHAnsi"/>
                <w:color w:val="002060"/>
              </w:rPr>
              <w:t xml:space="preserve"> 25 </w:t>
            </w:r>
            <w:proofErr w:type="spellStart"/>
            <w:r w:rsidRPr="002368E5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2368E5">
              <w:rPr>
                <w:rFonts w:asciiTheme="minorHAnsi" w:hAnsiTheme="minorHAnsi" w:cstheme="minorHAnsi"/>
                <w:color w:val="002060"/>
              </w:rPr>
              <w:t xml:space="preserve"> vételárú</w:t>
            </w:r>
            <w:r w:rsidRPr="0008705C">
              <w:rPr>
                <w:rFonts w:asciiTheme="minorHAnsi" w:hAnsiTheme="minorHAnsi" w:cstheme="minorHAnsi"/>
                <w:b/>
                <w:bCs/>
                <w:color w:val="002060"/>
              </w:rPr>
              <w:t>) személygépkocsi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,</w:t>
            </w:r>
            <w:r w:rsidRPr="002368E5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D6687B">
              <w:rPr>
                <w:rFonts w:asciiTheme="minorHAnsi" w:hAnsiTheme="minorHAnsi" w:cstheme="minorHAnsi"/>
                <w:color w:val="002060"/>
              </w:rPr>
              <w:t xml:space="preserve">illetve </w:t>
            </w:r>
            <w:r w:rsidRPr="00D7773E">
              <w:rPr>
                <w:rFonts w:asciiTheme="minorHAnsi" w:hAnsiTheme="minorHAnsi" w:cstheme="minorHAnsi"/>
                <w:b/>
                <w:bCs/>
                <w:color w:val="002060"/>
              </w:rPr>
              <w:t>új</w:t>
            </w:r>
            <w:r w:rsidRPr="00D6687B">
              <w:rPr>
                <w:rFonts w:asciiTheme="minorHAnsi" w:hAnsiTheme="minorHAnsi" w:cstheme="minorHAnsi"/>
                <w:color w:val="002060"/>
              </w:rPr>
              <w:t xml:space="preserve"> (</w:t>
            </w:r>
            <w:proofErr w:type="spellStart"/>
            <w:r w:rsidRPr="00D6687B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D6687B">
              <w:rPr>
                <w:rFonts w:asciiTheme="minorHAnsi" w:hAnsiTheme="minorHAnsi" w:cstheme="minorHAnsi"/>
                <w:color w:val="002060"/>
              </w:rPr>
              <w:t xml:space="preserve">. </w:t>
            </w:r>
            <w:r>
              <w:rPr>
                <w:rFonts w:asciiTheme="minorHAnsi" w:hAnsiTheme="minorHAnsi" w:cstheme="minorHAnsi"/>
                <w:color w:val="002060"/>
              </w:rPr>
              <w:t>nettó</w:t>
            </w:r>
            <w:r w:rsidRPr="00D6687B">
              <w:rPr>
                <w:rFonts w:asciiTheme="minorHAnsi" w:hAnsiTheme="minorHAnsi" w:cstheme="minorHAnsi"/>
                <w:color w:val="002060"/>
              </w:rPr>
              <w:t xml:space="preserve"> 2,5MFt vételárú) </w:t>
            </w:r>
            <w:r w:rsidRPr="00D7773E">
              <w:rPr>
                <w:rFonts w:asciiTheme="minorHAnsi" w:hAnsiTheme="minorHAnsi" w:cstheme="minorHAnsi"/>
                <w:b/>
                <w:bCs/>
                <w:color w:val="002060"/>
              </w:rPr>
              <w:t>elektromos kerékpár</w:t>
            </w:r>
            <w:r w:rsidRPr="00D6687B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2368E5">
              <w:rPr>
                <w:rFonts w:asciiTheme="minorHAnsi" w:hAnsiTheme="minorHAnsi" w:cstheme="minorHAnsi"/>
                <w:color w:val="002060"/>
              </w:rPr>
              <w:t>finanszírozása esetén</w:t>
            </w:r>
            <w:r>
              <w:rPr>
                <w:color w:val="002060"/>
              </w:rPr>
              <w:t xml:space="preserve">, </w:t>
            </w:r>
            <w:r w:rsidRPr="001B352E">
              <w:rPr>
                <w:rFonts w:asciiTheme="minorHAnsi" w:hAnsiTheme="minorHAnsi" w:cstheme="minorHAnsi"/>
                <w:color w:val="002060"/>
              </w:rPr>
              <w:t xml:space="preserve">amennyiben az elvárt fedezettségi szint nem ingatlan jelzálogjoggal és/vagy óvadéki betéttel </w:t>
            </w:r>
            <w:r>
              <w:rPr>
                <w:rFonts w:asciiTheme="minorHAnsi" w:hAnsiTheme="minorHAnsi" w:cstheme="minorHAnsi"/>
                <w:color w:val="002060"/>
              </w:rPr>
              <w:t xml:space="preserve">és/vagy gépjárművel </w:t>
            </w:r>
            <w:r w:rsidRPr="001B352E">
              <w:rPr>
                <w:rFonts w:asciiTheme="minorHAnsi" w:hAnsiTheme="minorHAnsi" w:cstheme="minorHAnsi"/>
                <w:color w:val="002060"/>
              </w:rPr>
              <w:t xml:space="preserve">biztosított </w:t>
            </w:r>
            <w:proofErr w:type="spellStart"/>
            <w:r w:rsidRPr="002368E5">
              <w:rPr>
                <w:rFonts w:asciiTheme="minorHAnsi" w:hAnsiTheme="minorHAnsi" w:cstheme="minorHAnsi"/>
                <w:color w:val="002060"/>
              </w:rPr>
              <w:t>garantőr</w:t>
            </w:r>
            <w:proofErr w:type="spellEnd"/>
            <w:r w:rsidRPr="002368E5">
              <w:rPr>
                <w:rFonts w:asciiTheme="minorHAnsi" w:hAnsiTheme="minorHAnsi" w:cstheme="minorHAnsi"/>
                <w:color w:val="002060"/>
              </w:rPr>
              <w:t xml:space="preserve"> intézmény készfizető kezességvállalása is </w:t>
            </w:r>
            <w:r>
              <w:rPr>
                <w:rFonts w:asciiTheme="minorHAnsi" w:hAnsiTheme="minorHAnsi" w:cstheme="minorHAnsi"/>
                <w:color w:val="002060"/>
              </w:rPr>
              <w:t xml:space="preserve">szükséges. </w:t>
            </w:r>
          </w:p>
          <w:p w14:paraId="4A9B037F" w14:textId="77777777" w:rsidR="00A243BC" w:rsidRPr="00190753" w:rsidRDefault="00A243BC" w:rsidP="00A243BC">
            <w:pPr>
              <w:pStyle w:val="Listaszerbekezds"/>
              <w:numPr>
                <w:ilvl w:val="0"/>
                <w:numId w:val="17"/>
              </w:numPr>
              <w:spacing w:after="160" w:line="259" w:lineRule="auto"/>
              <w:ind w:left="598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Magánszemély készfizető kezességvállalás bevonása kötelező</w:t>
            </w:r>
            <w:r w:rsidRPr="00190753">
              <w:rPr>
                <w:rFonts w:asciiTheme="minorHAnsi" w:hAnsiTheme="minorHAnsi" w:cstheme="minorHAnsi"/>
                <w:color w:val="002060"/>
              </w:rPr>
              <w:t>.</w:t>
            </w:r>
          </w:p>
        </w:tc>
      </w:tr>
      <w:tr w:rsidR="00A243BC" w:rsidRPr="00AC2EB7" w14:paraId="1DA9DEC8" w14:textId="77777777" w:rsidTr="00AA679A">
        <w:trPr>
          <w:trHeight w:val="287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7383BBB4" w14:textId="77777777" w:rsidR="00A243BC" w:rsidRPr="004149C2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lastRenderedPageBreak/>
              <w:t xml:space="preserve">SAJÁT ERŐ 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FC4E91F" w14:textId="77777777" w:rsidR="00A243BC" w:rsidRPr="00BD378D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color w:val="002060"/>
              </w:rPr>
              <w:t>A Vállalkozásnak rendelkeznie kell az alábbiak szerinti minimális elvárt saját erővel:</w:t>
            </w:r>
          </w:p>
          <w:p w14:paraId="60300022" w14:textId="77777777" w:rsidR="00A243BC" w:rsidRPr="00BD378D" w:rsidRDefault="00A243BC" w:rsidP="00A243BC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ind w:left="598" w:hanging="284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color w:val="002060"/>
              </w:rPr>
              <w:t>ha a Vállalkozás nem jogosult az ÁFA visszaigénylésre a bruttó beszerzési érték 10 %-</w:t>
            </w:r>
            <w:proofErr w:type="spellStart"/>
            <w:r w:rsidRPr="00BD378D">
              <w:rPr>
                <w:rFonts w:asciiTheme="minorHAnsi" w:hAnsiTheme="minorHAnsi" w:cstheme="minorHAnsi"/>
                <w:color w:val="002060"/>
              </w:rPr>
              <w:t>ával</w:t>
            </w:r>
            <w:proofErr w:type="spellEnd"/>
            <w:r w:rsidRPr="00BD378D">
              <w:rPr>
                <w:rFonts w:asciiTheme="minorHAnsi" w:hAnsiTheme="minorHAnsi" w:cstheme="minorHAnsi"/>
                <w:color w:val="002060"/>
              </w:rPr>
              <w:t>,</w:t>
            </w:r>
          </w:p>
          <w:p w14:paraId="2C820932" w14:textId="77777777" w:rsidR="00A243BC" w:rsidRPr="00BD378D" w:rsidRDefault="00A243BC" w:rsidP="00A243BC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ind w:left="598" w:hanging="284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color w:val="002060"/>
              </w:rPr>
              <w:t>ha a Vállalkozás jogosult az ÁFA visszaigénylésre, úgy a nettó beszerzési érték 10 %-</w:t>
            </w:r>
            <w:proofErr w:type="spellStart"/>
            <w:r w:rsidRPr="00BD378D">
              <w:rPr>
                <w:rFonts w:asciiTheme="minorHAnsi" w:hAnsiTheme="minorHAnsi" w:cstheme="minorHAnsi"/>
                <w:color w:val="002060"/>
              </w:rPr>
              <w:t>val</w:t>
            </w:r>
            <w:proofErr w:type="spellEnd"/>
            <w:r w:rsidRPr="00BD378D">
              <w:rPr>
                <w:rFonts w:asciiTheme="minorHAnsi" w:hAnsiTheme="minorHAnsi" w:cstheme="minorHAnsi"/>
                <w:color w:val="002060"/>
              </w:rPr>
              <w:t xml:space="preserve"> és a Vállalkozásnak a beszerzési érték teljes ÁFA tartalmát is saját forrásból szükséges biztosítani,</w:t>
            </w:r>
          </w:p>
          <w:p w14:paraId="13A78BC6" w14:textId="77777777" w:rsidR="00A243BC" w:rsidRPr="004149C2" w:rsidRDefault="00A243BC" w:rsidP="00AA679A">
            <w:pPr>
              <w:spacing w:after="160" w:line="259" w:lineRule="auto"/>
              <w:ind w:left="314"/>
              <w:rPr>
                <w:rFonts w:asciiTheme="minorHAnsi" w:hAnsiTheme="minorHAnsi" w:cstheme="minorHAnsi"/>
                <w:b/>
                <w:bCs/>
                <w:color w:val="002060"/>
              </w:rPr>
            </w:pPr>
          </w:p>
        </w:tc>
      </w:tr>
      <w:tr w:rsidR="00A243BC" w:rsidRPr="00AC2EB7" w14:paraId="12A2EE74" w14:textId="77777777" w:rsidTr="00AA679A">
        <w:trPr>
          <w:trHeight w:val="1790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8D46CCF" w14:textId="77777777" w:rsidR="00A243BC" w:rsidRPr="00BD378D" w:rsidRDefault="00A243BC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RENDELKEZÉSRE TARTÁSI- ÉS TÜRELMI IDŐ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285F05FC" w14:textId="77777777" w:rsidR="00A243BC" w:rsidRPr="00BD378D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color w:val="002060"/>
              </w:rPr>
              <w:t>A rendelkezésre tartási idő minimum 2 - maximum 23 hónap, új építésű ingatlan vásárlásra irányuló beruházás esetén maximum 35 hónap.</w:t>
            </w:r>
          </w:p>
          <w:p w14:paraId="607564A5" w14:textId="77777777" w:rsidR="00A243BC" w:rsidRPr="00BD378D" w:rsidRDefault="00A243BC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BD378D">
              <w:rPr>
                <w:rFonts w:asciiTheme="minorHAnsi" w:hAnsiTheme="minorHAnsi" w:cstheme="minorHAnsi"/>
                <w:color w:val="002060"/>
              </w:rPr>
              <w:t>Türelmi idő minimum a rendelkezésre tartási idővel megegyező, maximum 24 hónap, új építésű ingatlan vásárlásra irányuló beruházás esetén maximum 36 hónap.</w:t>
            </w:r>
          </w:p>
        </w:tc>
      </w:tr>
    </w:tbl>
    <w:p w14:paraId="29984164" w14:textId="2D51178C" w:rsidR="00895A5C" w:rsidRDefault="00895A5C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p w14:paraId="476F6A92" w14:textId="77777777" w:rsidR="0095543F" w:rsidRDefault="0095543F" w:rsidP="0095543F">
      <w:r>
        <w:t xml:space="preserve">További információ: </w:t>
      </w:r>
      <w:hyperlink r:id="rId8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38BADB40" w14:textId="77777777" w:rsidR="00A243BC" w:rsidRPr="00A90791" w:rsidRDefault="00A243BC" w:rsidP="0095543F">
      <w:pPr>
        <w:spacing w:after="160" w:line="259" w:lineRule="auto"/>
        <w:jc w:val="both"/>
        <w:rPr>
          <w:rFonts w:asciiTheme="minorHAnsi" w:hAnsiTheme="minorHAnsi" w:cstheme="minorHAnsi"/>
          <w:color w:val="002060"/>
        </w:rPr>
      </w:pPr>
    </w:p>
    <w:sectPr w:rsidR="00A243BC" w:rsidRPr="00A90791" w:rsidSect="00AB4608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FB34" w14:textId="77777777" w:rsidR="00F22B9F" w:rsidRDefault="00F22B9F" w:rsidP="00E152B0">
      <w:r>
        <w:separator/>
      </w:r>
    </w:p>
  </w:endnote>
  <w:endnote w:type="continuationSeparator" w:id="0">
    <w:p w14:paraId="312DC928" w14:textId="77777777" w:rsidR="00F22B9F" w:rsidRDefault="00F22B9F" w:rsidP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740034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285E4CE9" w14:textId="0B762ED9" w:rsidR="005023F9" w:rsidRPr="004451B6" w:rsidRDefault="005023F9">
        <w:pPr>
          <w:pStyle w:val="llb"/>
          <w:jc w:val="center"/>
          <w:rPr>
            <w:color w:val="1F3864" w:themeColor="accent5" w:themeShade="80"/>
          </w:rPr>
        </w:pPr>
        <w:r w:rsidRPr="004451B6">
          <w:rPr>
            <w:color w:val="1F3864" w:themeColor="accent5" w:themeShade="80"/>
          </w:rPr>
          <w:fldChar w:fldCharType="begin"/>
        </w:r>
        <w:r w:rsidRPr="004451B6">
          <w:rPr>
            <w:color w:val="1F3864" w:themeColor="accent5" w:themeShade="80"/>
          </w:rPr>
          <w:instrText>PAGE   \* MERGEFORMAT</w:instrText>
        </w:r>
        <w:r w:rsidRPr="004451B6">
          <w:rPr>
            <w:color w:val="1F3864" w:themeColor="accent5" w:themeShade="80"/>
          </w:rPr>
          <w:fldChar w:fldCharType="separate"/>
        </w:r>
        <w:r w:rsidRPr="004451B6">
          <w:rPr>
            <w:color w:val="1F3864" w:themeColor="accent5" w:themeShade="80"/>
          </w:rPr>
          <w:t>2</w:t>
        </w:r>
        <w:r w:rsidRPr="004451B6">
          <w:rPr>
            <w:color w:val="1F3864" w:themeColor="accent5" w:themeShade="80"/>
          </w:rPr>
          <w:fldChar w:fldCharType="end"/>
        </w:r>
      </w:p>
    </w:sdtContent>
  </w:sdt>
  <w:p w14:paraId="229382C2" w14:textId="77777777" w:rsidR="005023F9" w:rsidRDefault="0050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E6DB" w14:textId="77777777" w:rsidR="00F22B9F" w:rsidRDefault="00F22B9F" w:rsidP="00E152B0">
      <w:r>
        <w:separator/>
      </w:r>
    </w:p>
  </w:footnote>
  <w:footnote w:type="continuationSeparator" w:id="0">
    <w:p w14:paraId="766E6F56" w14:textId="77777777" w:rsidR="00F22B9F" w:rsidRDefault="00F22B9F" w:rsidP="00E1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B0A6" w14:textId="680E54A3" w:rsidR="00E152B0" w:rsidRDefault="00F30059" w:rsidP="00F30059">
    <w:pPr>
      <w:pStyle w:val="lfej"/>
    </w:pPr>
    <w:r w:rsidRPr="00F30059">
      <w:rPr>
        <w:noProof/>
      </w:rPr>
      <w:drawing>
        <wp:inline distT="0" distB="0" distL="0" distR="0" wp14:anchorId="61804F8E" wp14:editId="5E02B674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E152B0">
      <w:rPr>
        <w:noProof/>
        <w:lang w:eastAsia="hu-HU"/>
      </w:rPr>
      <w:drawing>
        <wp:inline distT="0" distB="0" distL="0" distR="0" wp14:anchorId="4907950A" wp14:editId="42ED8DF4">
          <wp:extent cx="1295400" cy="4106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F4F"/>
    <w:multiLevelType w:val="hybridMultilevel"/>
    <w:tmpl w:val="A8CAD874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3AB"/>
    <w:multiLevelType w:val="hybridMultilevel"/>
    <w:tmpl w:val="BA82BA4C"/>
    <w:lvl w:ilvl="0" w:tplc="CE9E25EE">
      <w:start w:val="1"/>
      <w:numFmt w:val="bullet"/>
      <w:lvlText w:val="º"/>
      <w:lvlJc w:val="left"/>
      <w:pPr>
        <w:ind w:left="3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4EED"/>
    <w:multiLevelType w:val="hybridMultilevel"/>
    <w:tmpl w:val="158AD17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64E6C"/>
    <w:multiLevelType w:val="hybridMultilevel"/>
    <w:tmpl w:val="98B86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41CB4"/>
    <w:multiLevelType w:val="hybridMultilevel"/>
    <w:tmpl w:val="92345682"/>
    <w:lvl w:ilvl="0" w:tplc="D6F655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428B8"/>
    <w:multiLevelType w:val="hybridMultilevel"/>
    <w:tmpl w:val="EF6A4BB8"/>
    <w:lvl w:ilvl="0" w:tplc="040E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7" w15:restartNumberingAfterBreak="0">
    <w:nsid w:val="32EF2AE1"/>
    <w:multiLevelType w:val="hybridMultilevel"/>
    <w:tmpl w:val="5EDA5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3B"/>
    <w:multiLevelType w:val="hybridMultilevel"/>
    <w:tmpl w:val="34A05892"/>
    <w:lvl w:ilvl="0" w:tplc="5C9E7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5665"/>
    <w:multiLevelType w:val="hybridMultilevel"/>
    <w:tmpl w:val="480A1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5145D"/>
    <w:multiLevelType w:val="hybridMultilevel"/>
    <w:tmpl w:val="ABE60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2404"/>
    <w:multiLevelType w:val="hybridMultilevel"/>
    <w:tmpl w:val="57469E2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87D4C"/>
    <w:multiLevelType w:val="hybridMultilevel"/>
    <w:tmpl w:val="454607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341C0"/>
    <w:multiLevelType w:val="hybridMultilevel"/>
    <w:tmpl w:val="39DC0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27724"/>
    <w:multiLevelType w:val="hybridMultilevel"/>
    <w:tmpl w:val="D5E09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B0436"/>
    <w:multiLevelType w:val="hybridMultilevel"/>
    <w:tmpl w:val="735C22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541">
    <w:abstractNumId w:val="11"/>
  </w:num>
  <w:num w:numId="2" w16cid:durableId="679091241">
    <w:abstractNumId w:val="2"/>
  </w:num>
  <w:num w:numId="3" w16cid:durableId="1370490671">
    <w:abstractNumId w:val="13"/>
  </w:num>
  <w:num w:numId="4" w16cid:durableId="1475953755">
    <w:abstractNumId w:val="11"/>
  </w:num>
  <w:num w:numId="5" w16cid:durableId="1285044251">
    <w:abstractNumId w:val="5"/>
  </w:num>
  <w:num w:numId="6" w16cid:durableId="475798300">
    <w:abstractNumId w:val="9"/>
  </w:num>
  <w:num w:numId="7" w16cid:durableId="581528212">
    <w:abstractNumId w:val="14"/>
  </w:num>
  <w:num w:numId="8" w16cid:durableId="1079061957">
    <w:abstractNumId w:val="3"/>
  </w:num>
  <w:num w:numId="9" w16cid:durableId="1878736552">
    <w:abstractNumId w:val="15"/>
  </w:num>
  <w:num w:numId="10" w16cid:durableId="119418995">
    <w:abstractNumId w:val="12"/>
  </w:num>
  <w:num w:numId="11" w16cid:durableId="1113939079">
    <w:abstractNumId w:val="6"/>
  </w:num>
  <w:num w:numId="12" w16cid:durableId="1651127605">
    <w:abstractNumId w:val="10"/>
  </w:num>
  <w:num w:numId="13" w16cid:durableId="197738806">
    <w:abstractNumId w:val="0"/>
  </w:num>
  <w:num w:numId="14" w16cid:durableId="695889371">
    <w:abstractNumId w:val="7"/>
  </w:num>
  <w:num w:numId="15" w16cid:durableId="1589777809">
    <w:abstractNumId w:val="16"/>
  </w:num>
  <w:num w:numId="16" w16cid:durableId="138958537">
    <w:abstractNumId w:val="8"/>
  </w:num>
  <w:num w:numId="17" w16cid:durableId="1408378325">
    <w:abstractNumId w:val="4"/>
  </w:num>
  <w:num w:numId="18" w16cid:durableId="138270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17606"/>
    <w:rsid w:val="000265B7"/>
    <w:rsid w:val="0004388A"/>
    <w:rsid w:val="00051357"/>
    <w:rsid w:val="00053E5A"/>
    <w:rsid w:val="00055415"/>
    <w:rsid w:val="00060B31"/>
    <w:rsid w:val="00062DB4"/>
    <w:rsid w:val="000768E3"/>
    <w:rsid w:val="00093265"/>
    <w:rsid w:val="000B647E"/>
    <w:rsid w:val="000C5E90"/>
    <w:rsid w:val="000F02D9"/>
    <w:rsid w:val="000F3158"/>
    <w:rsid w:val="000F380A"/>
    <w:rsid w:val="00100F5D"/>
    <w:rsid w:val="00120C99"/>
    <w:rsid w:val="001478FB"/>
    <w:rsid w:val="00155552"/>
    <w:rsid w:val="0018764A"/>
    <w:rsid w:val="00196EDD"/>
    <w:rsid w:val="001A3593"/>
    <w:rsid w:val="001A6CDE"/>
    <w:rsid w:val="001C723E"/>
    <w:rsid w:val="001E368B"/>
    <w:rsid w:val="00202228"/>
    <w:rsid w:val="002104FC"/>
    <w:rsid w:val="0023771E"/>
    <w:rsid w:val="0026356C"/>
    <w:rsid w:val="00266A49"/>
    <w:rsid w:val="00277FA5"/>
    <w:rsid w:val="00285E7A"/>
    <w:rsid w:val="002B3B45"/>
    <w:rsid w:val="002C4F90"/>
    <w:rsid w:val="002E7205"/>
    <w:rsid w:val="002F092A"/>
    <w:rsid w:val="002F5304"/>
    <w:rsid w:val="003142A9"/>
    <w:rsid w:val="00334298"/>
    <w:rsid w:val="003939E1"/>
    <w:rsid w:val="003A54C2"/>
    <w:rsid w:val="003B3508"/>
    <w:rsid w:val="003B6D98"/>
    <w:rsid w:val="003D4813"/>
    <w:rsid w:val="00404E58"/>
    <w:rsid w:val="0041075C"/>
    <w:rsid w:val="00425D02"/>
    <w:rsid w:val="00426AE5"/>
    <w:rsid w:val="004451B6"/>
    <w:rsid w:val="0047082C"/>
    <w:rsid w:val="004863F7"/>
    <w:rsid w:val="004914D0"/>
    <w:rsid w:val="00494557"/>
    <w:rsid w:val="004A3BF9"/>
    <w:rsid w:val="004A40E4"/>
    <w:rsid w:val="004C6EEB"/>
    <w:rsid w:val="004D1B04"/>
    <w:rsid w:val="004E7434"/>
    <w:rsid w:val="004F18A7"/>
    <w:rsid w:val="005023F9"/>
    <w:rsid w:val="00503A9E"/>
    <w:rsid w:val="00504004"/>
    <w:rsid w:val="00505C8F"/>
    <w:rsid w:val="005062C4"/>
    <w:rsid w:val="00507471"/>
    <w:rsid w:val="00526C89"/>
    <w:rsid w:val="00532F85"/>
    <w:rsid w:val="00533586"/>
    <w:rsid w:val="00564A0B"/>
    <w:rsid w:val="0057428E"/>
    <w:rsid w:val="005803C6"/>
    <w:rsid w:val="005823F6"/>
    <w:rsid w:val="00594D0D"/>
    <w:rsid w:val="005A3FA2"/>
    <w:rsid w:val="005B64AE"/>
    <w:rsid w:val="005B6CC3"/>
    <w:rsid w:val="005F3BAD"/>
    <w:rsid w:val="005F5469"/>
    <w:rsid w:val="0062208E"/>
    <w:rsid w:val="00635B0F"/>
    <w:rsid w:val="00637B67"/>
    <w:rsid w:val="006521EA"/>
    <w:rsid w:val="006546F2"/>
    <w:rsid w:val="00662F00"/>
    <w:rsid w:val="00674171"/>
    <w:rsid w:val="00676B7A"/>
    <w:rsid w:val="0069604F"/>
    <w:rsid w:val="00697574"/>
    <w:rsid w:val="006B1D7F"/>
    <w:rsid w:val="006C5471"/>
    <w:rsid w:val="006D2361"/>
    <w:rsid w:val="006E54EF"/>
    <w:rsid w:val="006F5913"/>
    <w:rsid w:val="00730C08"/>
    <w:rsid w:val="007435E8"/>
    <w:rsid w:val="00744737"/>
    <w:rsid w:val="00755994"/>
    <w:rsid w:val="00766113"/>
    <w:rsid w:val="0077624B"/>
    <w:rsid w:val="007941E4"/>
    <w:rsid w:val="00795654"/>
    <w:rsid w:val="007A6985"/>
    <w:rsid w:val="007B445D"/>
    <w:rsid w:val="007B53EB"/>
    <w:rsid w:val="00811946"/>
    <w:rsid w:val="00843CD1"/>
    <w:rsid w:val="0085151C"/>
    <w:rsid w:val="00855B0F"/>
    <w:rsid w:val="0086531A"/>
    <w:rsid w:val="00881C38"/>
    <w:rsid w:val="0088438A"/>
    <w:rsid w:val="00890D8C"/>
    <w:rsid w:val="0089557B"/>
    <w:rsid w:val="00895A5C"/>
    <w:rsid w:val="008976F3"/>
    <w:rsid w:val="008A3E10"/>
    <w:rsid w:val="008B25EF"/>
    <w:rsid w:val="008C5407"/>
    <w:rsid w:val="008E4DE7"/>
    <w:rsid w:val="008F20A6"/>
    <w:rsid w:val="008F3A22"/>
    <w:rsid w:val="00947A9D"/>
    <w:rsid w:val="0095543F"/>
    <w:rsid w:val="0096186E"/>
    <w:rsid w:val="009631A0"/>
    <w:rsid w:val="00985AFB"/>
    <w:rsid w:val="009947FE"/>
    <w:rsid w:val="009A2E74"/>
    <w:rsid w:val="009A4F3F"/>
    <w:rsid w:val="009B3543"/>
    <w:rsid w:val="009C1405"/>
    <w:rsid w:val="009E5EE2"/>
    <w:rsid w:val="009F53CF"/>
    <w:rsid w:val="009F68C0"/>
    <w:rsid w:val="00A00D69"/>
    <w:rsid w:val="00A06A6B"/>
    <w:rsid w:val="00A243BC"/>
    <w:rsid w:val="00A261D6"/>
    <w:rsid w:val="00A34DD8"/>
    <w:rsid w:val="00A44311"/>
    <w:rsid w:val="00A7256A"/>
    <w:rsid w:val="00A82460"/>
    <w:rsid w:val="00A90791"/>
    <w:rsid w:val="00AB3689"/>
    <w:rsid w:val="00AB4608"/>
    <w:rsid w:val="00AE1B26"/>
    <w:rsid w:val="00AE75FE"/>
    <w:rsid w:val="00B00A54"/>
    <w:rsid w:val="00B02E97"/>
    <w:rsid w:val="00B1100C"/>
    <w:rsid w:val="00B167BE"/>
    <w:rsid w:val="00B24C29"/>
    <w:rsid w:val="00B52E34"/>
    <w:rsid w:val="00B703EC"/>
    <w:rsid w:val="00B73CD9"/>
    <w:rsid w:val="00B77C8E"/>
    <w:rsid w:val="00B9412E"/>
    <w:rsid w:val="00BB23FC"/>
    <w:rsid w:val="00BD21EA"/>
    <w:rsid w:val="00C17833"/>
    <w:rsid w:val="00C54BD4"/>
    <w:rsid w:val="00C55A4F"/>
    <w:rsid w:val="00C701FD"/>
    <w:rsid w:val="00C80D30"/>
    <w:rsid w:val="00C86096"/>
    <w:rsid w:val="00CA7DEF"/>
    <w:rsid w:val="00CB5943"/>
    <w:rsid w:val="00CB5DFB"/>
    <w:rsid w:val="00CB776F"/>
    <w:rsid w:val="00CD1B1B"/>
    <w:rsid w:val="00D15016"/>
    <w:rsid w:val="00D2034A"/>
    <w:rsid w:val="00D21B90"/>
    <w:rsid w:val="00D22BC8"/>
    <w:rsid w:val="00D33D9E"/>
    <w:rsid w:val="00D34550"/>
    <w:rsid w:val="00D357E3"/>
    <w:rsid w:val="00D516A0"/>
    <w:rsid w:val="00D53A48"/>
    <w:rsid w:val="00D80D02"/>
    <w:rsid w:val="00DB7FA0"/>
    <w:rsid w:val="00E040E0"/>
    <w:rsid w:val="00E13404"/>
    <w:rsid w:val="00E152B0"/>
    <w:rsid w:val="00E24725"/>
    <w:rsid w:val="00E35B17"/>
    <w:rsid w:val="00E36B0F"/>
    <w:rsid w:val="00E43004"/>
    <w:rsid w:val="00E45752"/>
    <w:rsid w:val="00E51416"/>
    <w:rsid w:val="00E616DC"/>
    <w:rsid w:val="00E67B22"/>
    <w:rsid w:val="00EB6BA3"/>
    <w:rsid w:val="00EB7EC6"/>
    <w:rsid w:val="00ED054C"/>
    <w:rsid w:val="00ED6E9A"/>
    <w:rsid w:val="00F068D3"/>
    <w:rsid w:val="00F10FBC"/>
    <w:rsid w:val="00F17375"/>
    <w:rsid w:val="00F22B9F"/>
    <w:rsid w:val="00F253DD"/>
    <w:rsid w:val="00F30059"/>
    <w:rsid w:val="00F51EF5"/>
    <w:rsid w:val="00F569DF"/>
    <w:rsid w:val="00F673D8"/>
    <w:rsid w:val="00F813C5"/>
    <w:rsid w:val="00FB1D92"/>
    <w:rsid w:val="00FD2AD4"/>
    <w:rsid w:val="00FE62B8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9673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2B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2B0"/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A00D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261D6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F51E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1EF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1EF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F5"/>
    <w:rPr>
      <w:rFonts w:ascii="Calibri" w:hAnsi="Calibri" w:cs="Calibri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3E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E5A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3E5A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B7FA0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0513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8C9-A6A5-4D41-AFCF-4C876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4</cp:revision>
  <dcterms:created xsi:type="dcterms:W3CDTF">2026-03-25T08:34:00Z</dcterms:created>
  <dcterms:modified xsi:type="dcterms:W3CDTF">2026-04-20T07:30:00Z</dcterms:modified>
</cp:coreProperties>
</file>